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312" w:beforeLines="100" w:after="312" w:afterLines="100" w:line="240" w:lineRule="auto"/>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drawing>
          <wp:inline distT="0" distB="0" distL="114300" distR="114300">
            <wp:extent cx="5268595" cy="7450455"/>
            <wp:effectExtent l="0" t="0" r="8255" b="17145"/>
            <wp:docPr id="2" name="图片 2" descr="附件4.内容真实性责任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内容真实性责任声明"/>
                    <pic:cNvPicPr>
                      <a:picLocks noChangeAspect="1"/>
                    </pic:cNvPicPr>
                  </pic:nvPicPr>
                  <pic:blipFill>
                    <a:blip r:embed="rId6"/>
                    <a:stretch>
                      <a:fillRect/>
                    </a:stretch>
                  </pic:blipFill>
                  <pic:spPr>
                    <a:xfrm>
                      <a:off x="0" y="0"/>
                      <a:ext cx="5268595" cy="7450455"/>
                    </a:xfrm>
                    <a:prstGeom prst="rect">
                      <a:avLst/>
                    </a:prstGeom>
                  </pic:spPr>
                </pic:pic>
              </a:graphicData>
            </a:graphic>
          </wp:inline>
        </w:drawing>
      </w:r>
    </w:p>
    <w:p>
      <w:pPr>
        <w:widowControl/>
        <w:spacing w:before="312" w:beforeLines="100" w:after="312" w:afterLines="100" w:line="500" w:lineRule="exact"/>
        <w:jc w:val="center"/>
        <w:rPr>
          <w:rFonts w:hint="eastAsia" w:ascii="黑体" w:hAnsi="黑体" w:eastAsia="黑体" w:cs="黑体"/>
          <w:b/>
          <w:bCs/>
          <w:sz w:val="44"/>
          <w:szCs w:val="44"/>
        </w:rPr>
      </w:pPr>
    </w:p>
    <w:p>
      <w:pPr>
        <w:widowControl/>
        <w:spacing w:before="312" w:beforeLines="100" w:after="312" w:afterLines="100" w:line="500" w:lineRule="exact"/>
        <w:jc w:val="center"/>
        <w:rPr>
          <w:rFonts w:hint="eastAsia" w:ascii="黑体" w:hAnsi="黑体" w:eastAsia="黑体" w:cs="黑体"/>
          <w:b/>
          <w:bCs/>
          <w:sz w:val="44"/>
          <w:szCs w:val="44"/>
        </w:rPr>
      </w:pPr>
    </w:p>
    <w:p>
      <w:pPr>
        <w:widowControl/>
        <w:spacing w:before="312" w:beforeLines="100" w:after="312" w:afterLines="100" w:line="240" w:lineRule="auto"/>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drawing>
          <wp:inline distT="0" distB="0" distL="114300" distR="114300">
            <wp:extent cx="5268595" cy="7450455"/>
            <wp:effectExtent l="0" t="0" r="8255" b="17145"/>
            <wp:docPr id="4" name="图片 4" descr="赣轻高技字[2021]2号（关于报送我校2020年中等职业教育质量年度报告的报告）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赣轻高技字[2021]2号（关于报送我校2020年中等职业教育质量年度报告的报告）1"/>
                    <pic:cNvPicPr>
                      <a:picLocks noChangeAspect="1"/>
                    </pic:cNvPicPr>
                  </pic:nvPicPr>
                  <pic:blipFill>
                    <a:blip r:embed="rId7"/>
                    <a:stretch>
                      <a:fillRect/>
                    </a:stretch>
                  </pic:blipFill>
                  <pic:spPr>
                    <a:xfrm>
                      <a:off x="0" y="0"/>
                      <a:ext cx="5268595" cy="7450455"/>
                    </a:xfrm>
                    <a:prstGeom prst="rect">
                      <a:avLst/>
                    </a:prstGeom>
                  </pic:spPr>
                </pic:pic>
              </a:graphicData>
            </a:graphic>
          </wp:inline>
        </w:drawing>
      </w:r>
    </w:p>
    <w:p>
      <w:pPr>
        <w:pStyle w:val="2"/>
        <w:rPr>
          <w:rFonts w:hint="eastAsia" w:ascii="黑体" w:hAnsi="黑体" w:eastAsia="黑体" w:cs="黑体"/>
          <w:b/>
          <w:bCs/>
          <w:sz w:val="44"/>
          <w:szCs w:val="44"/>
        </w:rPr>
      </w:pPr>
    </w:p>
    <w:p>
      <w:pPr>
        <w:pStyle w:val="2"/>
        <w:rPr>
          <w:rFonts w:hint="eastAsia" w:ascii="黑体" w:hAnsi="黑体" w:eastAsia="黑体" w:cs="黑体"/>
          <w:b/>
          <w:bCs/>
          <w:sz w:val="44"/>
          <w:szCs w:val="44"/>
        </w:rPr>
      </w:pPr>
    </w:p>
    <w:p>
      <w:pPr>
        <w:widowControl/>
        <w:spacing w:before="312" w:beforeLines="100" w:after="312" w:afterLines="100" w:line="240" w:lineRule="auto"/>
        <w:jc w:val="center"/>
        <w:rPr>
          <w:rFonts w:hint="eastAsia" w:ascii="黑体" w:hAnsi="黑体" w:eastAsia="黑体" w:cs="黑体"/>
          <w:b/>
          <w:bCs/>
          <w:sz w:val="44"/>
          <w:szCs w:val="44"/>
          <w:lang w:eastAsia="zh-CN"/>
        </w:rPr>
      </w:pPr>
      <w:r>
        <w:rPr>
          <w:rFonts w:hint="eastAsia" w:ascii="黑体" w:hAnsi="黑体" w:eastAsia="黑体" w:cs="黑体"/>
          <w:b/>
          <w:bCs/>
          <w:sz w:val="44"/>
          <w:szCs w:val="44"/>
          <w:lang w:eastAsia="zh-CN"/>
        </w:rPr>
        <w:drawing>
          <wp:inline distT="0" distB="0" distL="114300" distR="114300">
            <wp:extent cx="5268595" cy="7450455"/>
            <wp:effectExtent l="0" t="0" r="8255" b="17145"/>
            <wp:docPr id="6" name="图片 6" descr="赣轻高技字[2021]2号（关于报送我校2020年中等职业教育质量年度报告的报告）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赣轻高技字[2021]2号（关于报送我校2020年中等职业教育质量年度报告的报告）2"/>
                    <pic:cNvPicPr>
                      <a:picLocks noChangeAspect="1"/>
                    </pic:cNvPicPr>
                  </pic:nvPicPr>
                  <pic:blipFill>
                    <a:blip r:embed="rId8"/>
                    <a:stretch>
                      <a:fillRect/>
                    </a:stretch>
                  </pic:blipFill>
                  <pic:spPr>
                    <a:xfrm>
                      <a:off x="0" y="0"/>
                      <a:ext cx="5268595" cy="7450455"/>
                    </a:xfrm>
                    <a:prstGeom prst="rect">
                      <a:avLst/>
                    </a:prstGeom>
                  </pic:spPr>
                </pic:pic>
              </a:graphicData>
            </a:graphic>
          </wp:inline>
        </w:drawing>
      </w:r>
    </w:p>
    <w:p>
      <w:pPr>
        <w:widowControl/>
        <w:spacing w:before="312" w:beforeLines="100" w:after="312" w:afterLines="100" w:line="500" w:lineRule="exact"/>
        <w:jc w:val="center"/>
        <w:rPr>
          <w:rFonts w:hint="eastAsia" w:ascii="黑体" w:hAnsi="黑体" w:eastAsia="黑体" w:cs="黑体"/>
          <w:b/>
          <w:bCs/>
          <w:sz w:val="44"/>
          <w:szCs w:val="44"/>
        </w:rPr>
      </w:pPr>
    </w:p>
    <w:p>
      <w:pPr>
        <w:widowControl/>
        <w:spacing w:before="312" w:beforeLines="100" w:after="312" w:afterLines="100" w:line="500" w:lineRule="exact"/>
        <w:jc w:val="center"/>
        <w:rPr>
          <w:rFonts w:hint="eastAsia" w:ascii="黑体" w:hAnsi="黑体" w:eastAsia="黑体" w:cs="黑体"/>
          <w:b/>
          <w:bCs/>
          <w:sz w:val="44"/>
          <w:szCs w:val="44"/>
        </w:rPr>
      </w:pPr>
    </w:p>
    <w:p>
      <w:pPr>
        <w:pStyle w:val="2"/>
        <w:rPr>
          <w:rFonts w:hint="eastAsia" w:eastAsiaTheme="minorEastAsia"/>
          <w:lang w:eastAsia="zh-CN"/>
        </w:rPr>
      </w:pPr>
      <w:r>
        <w:rPr>
          <w:rFonts w:hint="eastAsia" w:eastAsiaTheme="minorEastAsia"/>
          <w:lang w:eastAsia="zh-CN"/>
        </w:rPr>
        <w:drawing>
          <wp:inline distT="0" distB="0" distL="114300" distR="114300">
            <wp:extent cx="5268595" cy="7450455"/>
            <wp:effectExtent l="0" t="0" r="8255" b="17145"/>
            <wp:docPr id="7" name="图片 7" descr="附件5.2020年度中等职业学校编制发布年度质量报告情况汇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5.2020年度中等职业学校编制发布年度质量报告情况汇总表"/>
                    <pic:cNvPicPr>
                      <a:picLocks noChangeAspect="1"/>
                    </pic:cNvPicPr>
                  </pic:nvPicPr>
                  <pic:blipFill>
                    <a:blip r:embed="rId9"/>
                    <a:stretch>
                      <a:fillRect/>
                    </a:stretch>
                  </pic:blipFill>
                  <pic:spPr>
                    <a:xfrm>
                      <a:off x="0" y="0"/>
                      <a:ext cx="5268595" cy="7450455"/>
                    </a:xfrm>
                    <a:prstGeom prst="rect">
                      <a:avLst/>
                    </a:prstGeom>
                  </pic:spPr>
                </pic:pic>
              </a:graphicData>
            </a:graphic>
          </wp:inline>
        </w:drawing>
      </w:r>
    </w:p>
    <w:p>
      <w:pPr>
        <w:widowControl/>
        <w:spacing w:before="312" w:beforeLines="100" w:after="312" w:afterLines="100" w:line="500" w:lineRule="exact"/>
        <w:jc w:val="center"/>
        <w:rPr>
          <w:rFonts w:hint="eastAsia" w:ascii="黑体" w:hAnsi="黑体" w:eastAsia="黑体" w:cs="黑体"/>
          <w:b/>
          <w:bCs/>
          <w:sz w:val="44"/>
          <w:szCs w:val="44"/>
        </w:rPr>
      </w:pPr>
    </w:p>
    <w:p>
      <w:pPr>
        <w:rPr>
          <w:rFonts w:hint="eastAsia" w:ascii="黑体" w:hAnsi="黑体" w:eastAsia="黑体" w:cs="黑体"/>
          <w:b/>
          <w:bCs/>
          <w:sz w:val="44"/>
          <w:szCs w:val="44"/>
        </w:rPr>
      </w:pPr>
      <w:r>
        <w:rPr>
          <w:rFonts w:hint="eastAsia" w:ascii="黑体" w:hAnsi="黑体" w:eastAsia="黑体" w:cs="黑体"/>
          <w:b/>
          <w:bCs/>
          <w:sz w:val="44"/>
          <w:szCs w:val="44"/>
        </w:rPr>
        <w:br w:type="page"/>
      </w:r>
    </w:p>
    <w:p>
      <w:pPr>
        <w:pStyle w:val="2"/>
        <w:rPr>
          <w:rFonts w:hint="eastAsia"/>
        </w:rPr>
      </w:pPr>
    </w:p>
    <w:p>
      <w:pPr>
        <w:widowControl/>
        <w:spacing w:before="312" w:beforeLines="100" w:after="312" w:afterLines="100" w:line="500" w:lineRule="exact"/>
        <w:jc w:val="both"/>
        <w:rPr>
          <w:rFonts w:hint="eastAsia" w:ascii="黑体" w:hAnsi="黑体" w:eastAsia="黑体" w:cs="黑体"/>
          <w:b/>
          <w:bCs/>
          <w:sz w:val="44"/>
          <w:szCs w:val="44"/>
        </w:rPr>
      </w:pPr>
    </w:p>
    <w:sdt>
      <w:sdtPr>
        <w:rPr>
          <w:rFonts w:hint="eastAsia" w:ascii="黑体" w:hAnsi="黑体" w:eastAsia="黑体" w:cs="黑体"/>
          <w:b/>
          <w:bCs/>
          <w:sz w:val="44"/>
          <w:szCs w:val="44"/>
        </w:rPr>
        <w:id w:val="147453308"/>
        <w:docPartObj>
          <w:docPartGallery w:val="Table of Contents"/>
          <w:docPartUnique/>
        </w:docPartObj>
      </w:sdtPr>
      <w:sdtEndPr>
        <w:rPr>
          <w:rFonts w:hint="eastAsia" w:ascii="仿宋_GB2312" w:hAnsi="仿宋_GB2312" w:eastAsia="仿宋_GB2312" w:cs="仿宋_GB2312"/>
          <w:b/>
          <w:bCs/>
          <w:sz w:val="32"/>
          <w:szCs w:val="32"/>
        </w:rPr>
      </w:sdtEndPr>
      <w:sdtContent>
        <w:p>
          <w:pPr>
            <w:widowControl/>
            <w:spacing w:line="240" w:lineRule="auto"/>
            <w:jc w:val="both"/>
            <w:rPr>
              <w:rFonts w:ascii="黑体" w:hAnsi="黑体" w:eastAsia="黑体" w:cs="黑体"/>
              <w:b/>
              <w:bCs/>
              <w:sz w:val="44"/>
              <w:szCs w:val="44"/>
            </w:rPr>
          </w:pPr>
        </w:p>
        <w:p>
          <w:pPr>
            <w:rPr>
              <w:rFonts w:ascii="方正小标宋简体" w:hAnsi="方正小标宋简体" w:eastAsia="方正小标宋简体" w:cs="方正小标宋简体"/>
              <w:b/>
              <w:bCs/>
              <w:sz w:val="52"/>
              <w:szCs w:val="52"/>
            </w:rPr>
          </w:pPr>
        </w:p>
        <w:p>
          <w:pPr>
            <w:widowControl/>
            <w:jc w:val="center"/>
            <w:rPr>
              <w:rFonts w:ascii="方正小标宋简体" w:hAnsi="方正小标宋简体" w:eastAsia="方正小标宋简体" w:cs="方正小标宋简体"/>
              <w:b/>
              <w:bCs/>
              <w:sz w:val="48"/>
              <w:szCs w:val="48"/>
            </w:rPr>
          </w:pPr>
          <w:r>
            <w:rPr>
              <w:rFonts w:hint="eastAsia" w:ascii="黑体" w:hAnsi="黑体" w:eastAsia="黑体" w:cs="黑体"/>
              <w:b/>
              <w:bCs/>
              <w:sz w:val="44"/>
              <w:szCs w:val="44"/>
            </w:rPr>
            <w:drawing>
              <wp:inline distT="0" distB="0" distL="114300" distR="114300">
                <wp:extent cx="2779395" cy="2662555"/>
                <wp:effectExtent l="0" t="0" r="1905" b="4445"/>
                <wp:docPr id="5" name="图片 5" descr="校徽标志(无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校徽标志(无框)"/>
                        <pic:cNvPicPr>
                          <a:picLocks noChangeAspect="1"/>
                        </pic:cNvPicPr>
                      </pic:nvPicPr>
                      <pic:blipFill>
                        <a:blip r:embed="rId10" cstate="print"/>
                        <a:stretch>
                          <a:fillRect/>
                        </a:stretch>
                      </pic:blipFill>
                      <pic:spPr>
                        <a:xfrm>
                          <a:off x="0" y="0"/>
                          <a:ext cx="2779395" cy="2662555"/>
                        </a:xfrm>
                        <a:prstGeom prst="rect">
                          <a:avLst/>
                        </a:prstGeom>
                      </pic:spPr>
                    </pic:pic>
                  </a:graphicData>
                </a:graphic>
              </wp:inline>
            </w:drawing>
          </w:r>
        </w:p>
        <w:p>
          <w:pPr>
            <w:rPr>
              <w:rFonts w:ascii="方正小标宋简体" w:hAnsi="方正小标宋简体" w:eastAsia="方正小标宋简体" w:cs="方正小标宋简体"/>
              <w:b/>
              <w:bCs/>
              <w:sz w:val="36"/>
              <w:szCs w:val="36"/>
            </w:rPr>
          </w:pPr>
        </w:p>
        <w:p>
          <w:pPr>
            <w:spacing w:after="156" w:afterLines="50"/>
            <w:jc w:val="center"/>
            <w:rPr>
              <w:rFonts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江西省轻工业高级技工学校</w:t>
          </w:r>
        </w:p>
        <w:p>
          <w:pPr>
            <w:spacing w:before="156" w:beforeLines="50"/>
            <w:jc w:val="center"/>
            <w:rPr>
              <w:rFonts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48"/>
              <w:szCs w:val="48"/>
            </w:rPr>
            <w:t>20</w:t>
          </w:r>
          <w:r>
            <w:rPr>
              <w:rFonts w:hint="eastAsia" w:ascii="方正小标宋简体" w:hAnsi="方正小标宋简体" w:eastAsia="方正小标宋简体" w:cs="方正小标宋简体"/>
              <w:b/>
              <w:bCs/>
              <w:sz w:val="48"/>
              <w:szCs w:val="48"/>
              <w:lang w:val="en-US" w:eastAsia="zh-CN"/>
            </w:rPr>
            <w:t>20</w:t>
          </w:r>
          <w:r>
            <w:rPr>
              <w:rFonts w:hint="eastAsia" w:ascii="方正小标宋简体" w:hAnsi="方正小标宋简体" w:eastAsia="方正小标宋简体" w:cs="方正小标宋简体"/>
              <w:b/>
              <w:bCs/>
              <w:sz w:val="48"/>
              <w:szCs w:val="48"/>
            </w:rPr>
            <w:t>年</w:t>
          </w:r>
          <w:r>
            <w:rPr>
              <w:rFonts w:hint="eastAsia" w:ascii="方正小标宋简体" w:hAnsi="方正小标宋简体" w:eastAsia="方正小标宋简体" w:cs="方正小标宋简体"/>
              <w:b/>
              <w:bCs/>
              <w:sz w:val="52"/>
              <w:szCs w:val="52"/>
            </w:rPr>
            <w:t>中等职业教育质量年度报告</w:t>
          </w:r>
        </w:p>
        <w:p>
          <w:pPr>
            <w:widowControl/>
            <w:spacing w:before="312" w:beforeLines="100" w:after="312" w:afterLines="100" w:line="500" w:lineRule="exact"/>
            <w:jc w:val="center"/>
            <w:rPr>
              <w:rFonts w:hint="eastAsia" w:ascii="方正小标宋简体" w:hAnsi="方正小标宋简体" w:eastAsia="方正小标宋简体" w:cs="方正小标宋简体"/>
              <w:b/>
              <w:bCs/>
              <w:sz w:val="36"/>
              <w:szCs w:val="36"/>
            </w:rPr>
          </w:pPr>
        </w:p>
        <w:p>
          <w:pPr>
            <w:widowControl/>
            <w:spacing w:before="312" w:beforeLines="100" w:after="312" w:afterLines="100" w:line="500" w:lineRule="exact"/>
            <w:jc w:val="center"/>
            <w:rPr>
              <w:rFonts w:ascii="方正小标宋简体" w:hAnsi="方正小标宋简体" w:eastAsia="方正小标宋简体" w:cs="方正小标宋简体"/>
              <w:b/>
              <w:bCs/>
              <w:sz w:val="36"/>
              <w:szCs w:val="36"/>
            </w:rPr>
          </w:pPr>
        </w:p>
        <w:p>
          <w:pPr>
            <w:widowControl/>
            <w:spacing w:before="312" w:beforeLines="100" w:after="312" w:afterLines="100" w:line="500" w:lineRule="exact"/>
            <w:jc w:val="center"/>
            <w:rPr>
              <w:rFonts w:ascii="黑体" w:hAnsi="黑体" w:eastAsia="黑体" w:cs="黑体"/>
              <w:b/>
              <w:bCs/>
              <w:sz w:val="44"/>
              <w:szCs w:val="44"/>
            </w:rPr>
          </w:pPr>
          <w:r>
            <w:rPr>
              <w:rFonts w:hint="eastAsia" w:ascii="方正小标宋简体" w:hAnsi="方正小标宋简体" w:eastAsia="方正小标宋简体" w:cs="方正小标宋简体"/>
              <w:b/>
              <w:bCs/>
              <w:sz w:val="36"/>
              <w:szCs w:val="36"/>
            </w:rPr>
            <w:t>二〇二</w:t>
          </w:r>
          <w:r>
            <w:rPr>
              <w:rFonts w:hint="eastAsia" w:ascii="方正小标宋简体" w:hAnsi="方正小标宋简体" w:eastAsia="方正小标宋简体" w:cs="方正小标宋简体"/>
              <w:b/>
              <w:bCs/>
              <w:sz w:val="36"/>
              <w:szCs w:val="36"/>
              <w:lang w:eastAsia="zh-CN"/>
            </w:rPr>
            <w:t>一</w:t>
          </w:r>
          <w:r>
            <w:rPr>
              <w:rFonts w:hint="eastAsia" w:ascii="方正小标宋简体" w:hAnsi="方正小标宋简体" w:eastAsia="方正小标宋简体" w:cs="方正小标宋简体"/>
              <w:b/>
              <w:bCs/>
              <w:sz w:val="36"/>
              <w:szCs w:val="36"/>
            </w:rPr>
            <w:t>年</w:t>
          </w:r>
          <w:r>
            <w:rPr>
              <w:rFonts w:hint="eastAsia" w:ascii="方正小标宋简体" w:hAnsi="方正小标宋简体" w:eastAsia="方正小标宋简体" w:cs="方正小标宋简体"/>
              <w:b/>
              <w:bCs/>
              <w:sz w:val="36"/>
              <w:szCs w:val="36"/>
              <w:lang w:eastAsia="zh-CN"/>
            </w:rPr>
            <w:t>二</w:t>
          </w:r>
          <w:r>
            <w:rPr>
              <w:rFonts w:hint="eastAsia" w:ascii="方正小标宋简体" w:hAnsi="方正小标宋简体" w:eastAsia="方正小标宋简体" w:cs="方正小标宋简体"/>
              <w:b/>
              <w:bCs/>
              <w:sz w:val="36"/>
              <w:szCs w:val="36"/>
            </w:rPr>
            <w:t>月</w:t>
          </w:r>
        </w:p>
        <w:p>
          <w:pPr>
            <w:widowControl/>
            <w:rPr>
              <w:rFonts w:ascii="仿宋_GB2312" w:hAnsi="仿宋_GB2312" w:eastAsia="仿宋_GB2312" w:cs="仿宋_GB2312"/>
              <w:b/>
              <w:bCs/>
              <w:sz w:val="32"/>
              <w:szCs w:val="32"/>
            </w:rPr>
          </w:pPr>
        </w:p>
        <w:p>
          <w:pPr>
            <w:widowControl/>
          </w:pPr>
        </w:p>
      </w:sdtContent>
    </w:sdt>
    <w:sdt>
      <w:sdtPr>
        <w:rPr>
          <w:rFonts w:hint="eastAsia" w:ascii="方正小标宋简体" w:hAnsi="方正小标宋简体" w:eastAsia="方正小标宋简体" w:cs="方正小标宋简体"/>
          <w:sz w:val="48"/>
          <w:szCs w:val="48"/>
        </w:rPr>
        <w:id w:val="147473161"/>
        <w15:color w:val="DBDBDB"/>
        <w:docPartObj>
          <w:docPartGallery w:val="Table of Contents"/>
          <w:docPartUnique/>
        </w:docPartObj>
      </w:sdtPr>
      <w:sdtEndPr>
        <w:rPr>
          <w:rFonts w:hint="eastAsia" w:ascii="仿宋_GB2312" w:hAnsi="仿宋_GB2312" w:eastAsia="仿宋_GB2312" w:cs="仿宋_GB2312"/>
          <w:b/>
          <w:bCs/>
          <w:sz w:val="21"/>
          <w:szCs w:val="32"/>
        </w:rPr>
      </w:sdtEndPr>
      <w:sdtContent>
        <w:p>
          <w:pPr>
            <w:jc w:val="center"/>
            <w:rPr>
              <w:rFonts w:hint="eastAsia" w:ascii="方正小标宋简体" w:hAnsi="方正小标宋简体" w:eastAsia="方正小标宋简体" w:cs="方正小标宋简体"/>
              <w:sz w:val="48"/>
              <w:szCs w:val="48"/>
            </w:rPr>
          </w:pPr>
          <w:bookmarkStart w:id="182" w:name="_GoBack"/>
          <w:bookmarkEnd w:id="182"/>
        </w:p>
        <w:p>
          <w:pPr>
            <w:jc w:val="center"/>
            <w:rPr>
              <w:sz w:val="30"/>
              <w:szCs w:val="30"/>
            </w:rPr>
          </w:pPr>
          <w:r>
            <w:rPr>
              <w:rFonts w:hint="eastAsia" w:ascii="方正小标宋简体" w:hAnsi="方正小标宋简体" w:eastAsia="方正小标宋简体" w:cs="方正小标宋简体"/>
              <w:sz w:val="48"/>
              <w:szCs w:val="48"/>
            </w:rPr>
            <w:t>目录</w:t>
          </w: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TOC \o "1-2" \h \u </w:instrText>
          </w:r>
          <w:r>
            <w:rPr>
              <w:rFonts w:ascii="仿宋_GB2312" w:hAnsi="仿宋_GB2312" w:eastAsia="仿宋_GB2312" w:cs="仿宋_GB2312"/>
              <w:sz w:val="30"/>
              <w:szCs w:val="30"/>
            </w:rPr>
            <w:fldChar w:fldCharType="separate"/>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_Toc10403 </w:instrText>
          </w:r>
          <w:r>
            <w:rPr>
              <w:rFonts w:ascii="仿宋_GB2312" w:hAnsi="仿宋_GB2312" w:eastAsia="仿宋_GB2312" w:cs="仿宋_GB2312"/>
              <w:sz w:val="30"/>
              <w:szCs w:val="30"/>
            </w:rPr>
            <w:fldChar w:fldCharType="separate"/>
          </w:r>
          <w:r>
            <w:rPr>
              <w:rFonts w:hint="eastAsia"/>
              <w:sz w:val="30"/>
              <w:szCs w:val="30"/>
            </w:rPr>
            <w:t>1.学校情况</w:t>
          </w:r>
          <w:r>
            <w:rPr>
              <w:sz w:val="30"/>
              <w:szCs w:val="30"/>
            </w:rPr>
            <w:tab/>
          </w:r>
          <w:r>
            <w:rPr>
              <w:sz w:val="30"/>
              <w:szCs w:val="30"/>
            </w:rPr>
            <w:fldChar w:fldCharType="begin"/>
          </w:r>
          <w:r>
            <w:rPr>
              <w:sz w:val="30"/>
              <w:szCs w:val="30"/>
            </w:rPr>
            <w:instrText xml:space="preserve"> PAGEREF _Toc10403 </w:instrText>
          </w:r>
          <w:r>
            <w:rPr>
              <w:sz w:val="30"/>
              <w:szCs w:val="30"/>
            </w:rPr>
            <w:fldChar w:fldCharType="separate"/>
          </w:r>
          <w:r>
            <w:rPr>
              <w:sz w:val="30"/>
              <w:szCs w:val="30"/>
            </w:rPr>
            <w:t>1</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_Toc5365 </w:instrText>
          </w:r>
          <w:r>
            <w:rPr>
              <w:rFonts w:ascii="仿宋_GB2312" w:hAnsi="仿宋_GB2312" w:eastAsia="仿宋_GB2312" w:cs="仿宋_GB2312"/>
              <w:sz w:val="30"/>
              <w:szCs w:val="30"/>
            </w:rPr>
            <w:fldChar w:fldCharType="separate"/>
          </w:r>
          <w:r>
            <w:rPr>
              <w:sz w:val="30"/>
              <w:szCs w:val="30"/>
            </w:rPr>
            <w:t>1.1学校概况</w:t>
          </w:r>
          <w:r>
            <w:rPr>
              <w:sz w:val="30"/>
              <w:szCs w:val="30"/>
            </w:rPr>
            <w:tab/>
          </w:r>
          <w:r>
            <w:rPr>
              <w:sz w:val="30"/>
              <w:szCs w:val="30"/>
            </w:rPr>
            <w:fldChar w:fldCharType="begin"/>
          </w:r>
          <w:r>
            <w:rPr>
              <w:sz w:val="30"/>
              <w:szCs w:val="30"/>
            </w:rPr>
            <w:instrText xml:space="preserve"> PAGEREF _Toc5365 </w:instrText>
          </w:r>
          <w:r>
            <w:rPr>
              <w:sz w:val="30"/>
              <w:szCs w:val="30"/>
            </w:rPr>
            <w:fldChar w:fldCharType="separate"/>
          </w:r>
          <w:r>
            <w:rPr>
              <w:sz w:val="30"/>
              <w:szCs w:val="30"/>
            </w:rPr>
            <w:t>1</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_Toc7725 </w:instrText>
          </w:r>
          <w:r>
            <w:rPr>
              <w:rFonts w:ascii="仿宋_GB2312" w:hAnsi="仿宋_GB2312" w:eastAsia="仿宋_GB2312" w:cs="仿宋_GB2312"/>
              <w:sz w:val="30"/>
              <w:szCs w:val="30"/>
            </w:rPr>
            <w:fldChar w:fldCharType="separate"/>
          </w:r>
          <w:r>
            <w:rPr>
              <w:sz w:val="30"/>
              <w:szCs w:val="30"/>
            </w:rPr>
            <w:t>1.2学生情况</w:t>
          </w:r>
          <w:r>
            <w:rPr>
              <w:sz w:val="30"/>
              <w:szCs w:val="30"/>
            </w:rPr>
            <w:tab/>
          </w:r>
          <w:r>
            <w:rPr>
              <w:sz w:val="30"/>
              <w:szCs w:val="30"/>
            </w:rPr>
            <w:fldChar w:fldCharType="begin"/>
          </w:r>
          <w:r>
            <w:rPr>
              <w:sz w:val="30"/>
              <w:szCs w:val="30"/>
            </w:rPr>
            <w:instrText xml:space="preserve"> PAGEREF _Toc7725 </w:instrText>
          </w:r>
          <w:r>
            <w:rPr>
              <w:sz w:val="30"/>
              <w:szCs w:val="30"/>
            </w:rPr>
            <w:fldChar w:fldCharType="separate"/>
          </w:r>
          <w:r>
            <w:rPr>
              <w:sz w:val="30"/>
              <w:szCs w:val="30"/>
            </w:rPr>
            <w:t>2</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_Toc22448 </w:instrText>
          </w:r>
          <w:r>
            <w:rPr>
              <w:rFonts w:ascii="仿宋_GB2312" w:hAnsi="仿宋_GB2312" w:eastAsia="仿宋_GB2312" w:cs="仿宋_GB2312"/>
              <w:sz w:val="30"/>
              <w:szCs w:val="30"/>
            </w:rPr>
            <w:fldChar w:fldCharType="separate"/>
          </w:r>
          <w:r>
            <w:rPr>
              <w:sz w:val="30"/>
              <w:szCs w:val="30"/>
            </w:rPr>
            <w:t>1.3教师队伍</w:t>
          </w:r>
          <w:r>
            <w:rPr>
              <w:sz w:val="30"/>
              <w:szCs w:val="30"/>
            </w:rPr>
            <w:tab/>
          </w:r>
          <w:r>
            <w:rPr>
              <w:sz w:val="30"/>
              <w:szCs w:val="30"/>
            </w:rPr>
            <w:fldChar w:fldCharType="begin"/>
          </w:r>
          <w:r>
            <w:rPr>
              <w:sz w:val="30"/>
              <w:szCs w:val="30"/>
            </w:rPr>
            <w:instrText xml:space="preserve"> PAGEREF _Toc22448 </w:instrText>
          </w:r>
          <w:r>
            <w:rPr>
              <w:sz w:val="30"/>
              <w:szCs w:val="30"/>
            </w:rPr>
            <w:fldChar w:fldCharType="separate"/>
          </w:r>
          <w:r>
            <w:rPr>
              <w:sz w:val="30"/>
              <w:szCs w:val="30"/>
            </w:rPr>
            <w:t>4</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_Toc11411 </w:instrText>
          </w:r>
          <w:r>
            <w:rPr>
              <w:rFonts w:ascii="仿宋_GB2312" w:hAnsi="仿宋_GB2312" w:eastAsia="仿宋_GB2312" w:cs="仿宋_GB2312"/>
              <w:sz w:val="30"/>
              <w:szCs w:val="30"/>
            </w:rPr>
            <w:fldChar w:fldCharType="separate"/>
          </w:r>
          <w:r>
            <w:rPr>
              <w:sz w:val="30"/>
              <w:szCs w:val="30"/>
            </w:rPr>
            <w:t>1.4设施设备</w:t>
          </w:r>
          <w:r>
            <w:rPr>
              <w:sz w:val="30"/>
              <w:szCs w:val="30"/>
            </w:rPr>
            <w:tab/>
          </w:r>
          <w:r>
            <w:rPr>
              <w:sz w:val="30"/>
              <w:szCs w:val="30"/>
            </w:rPr>
            <w:fldChar w:fldCharType="begin"/>
          </w:r>
          <w:r>
            <w:rPr>
              <w:sz w:val="30"/>
              <w:szCs w:val="30"/>
            </w:rPr>
            <w:instrText xml:space="preserve"> PAGEREF _Toc11411 </w:instrText>
          </w:r>
          <w:r>
            <w:rPr>
              <w:sz w:val="30"/>
              <w:szCs w:val="30"/>
            </w:rPr>
            <w:fldChar w:fldCharType="separate"/>
          </w:r>
          <w:r>
            <w:rPr>
              <w:sz w:val="30"/>
              <w:szCs w:val="30"/>
            </w:rPr>
            <w:t>5</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_Toc26322 </w:instrText>
          </w:r>
          <w:r>
            <w:rPr>
              <w:rFonts w:ascii="仿宋_GB2312" w:hAnsi="仿宋_GB2312" w:eastAsia="仿宋_GB2312" w:cs="仿宋_GB2312"/>
              <w:sz w:val="30"/>
              <w:szCs w:val="30"/>
            </w:rPr>
            <w:fldChar w:fldCharType="separate"/>
          </w:r>
          <w:r>
            <w:rPr>
              <w:rFonts w:hint="eastAsia"/>
              <w:sz w:val="30"/>
              <w:szCs w:val="30"/>
            </w:rPr>
            <w:t>2.学生发展</w:t>
          </w:r>
          <w:r>
            <w:rPr>
              <w:sz w:val="30"/>
              <w:szCs w:val="30"/>
            </w:rPr>
            <w:tab/>
          </w:r>
          <w:r>
            <w:rPr>
              <w:sz w:val="30"/>
              <w:szCs w:val="30"/>
            </w:rPr>
            <w:fldChar w:fldCharType="begin"/>
          </w:r>
          <w:r>
            <w:rPr>
              <w:sz w:val="30"/>
              <w:szCs w:val="30"/>
            </w:rPr>
            <w:instrText xml:space="preserve"> PAGEREF _Toc26322 </w:instrText>
          </w:r>
          <w:r>
            <w:rPr>
              <w:sz w:val="30"/>
              <w:szCs w:val="30"/>
            </w:rPr>
            <w:fldChar w:fldCharType="separate"/>
          </w:r>
          <w:r>
            <w:rPr>
              <w:sz w:val="30"/>
              <w:szCs w:val="30"/>
            </w:rPr>
            <w:t>6</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_Toc5584 </w:instrText>
          </w:r>
          <w:r>
            <w:rPr>
              <w:rFonts w:ascii="仿宋_GB2312" w:hAnsi="仿宋_GB2312" w:eastAsia="仿宋_GB2312" w:cs="仿宋_GB2312"/>
              <w:sz w:val="30"/>
              <w:szCs w:val="30"/>
            </w:rPr>
            <w:fldChar w:fldCharType="separate"/>
          </w:r>
          <w:r>
            <w:rPr>
              <w:sz w:val="30"/>
              <w:szCs w:val="30"/>
            </w:rPr>
            <w:t>2.1学生素质</w:t>
          </w:r>
          <w:r>
            <w:rPr>
              <w:sz w:val="30"/>
              <w:szCs w:val="30"/>
            </w:rPr>
            <w:tab/>
          </w:r>
          <w:r>
            <w:rPr>
              <w:sz w:val="30"/>
              <w:szCs w:val="30"/>
            </w:rPr>
            <w:fldChar w:fldCharType="begin"/>
          </w:r>
          <w:r>
            <w:rPr>
              <w:sz w:val="30"/>
              <w:szCs w:val="30"/>
            </w:rPr>
            <w:instrText xml:space="preserve"> PAGEREF _Toc5584 </w:instrText>
          </w:r>
          <w:r>
            <w:rPr>
              <w:sz w:val="30"/>
              <w:szCs w:val="30"/>
            </w:rPr>
            <w:fldChar w:fldCharType="separate"/>
          </w:r>
          <w:r>
            <w:rPr>
              <w:sz w:val="30"/>
              <w:szCs w:val="30"/>
            </w:rPr>
            <w:t>6</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_Toc5719 </w:instrText>
          </w:r>
          <w:r>
            <w:rPr>
              <w:rFonts w:ascii="仿宋_GB2312" w:hAnsi="仿宋_GB2312" w:eastAsia="仿宋_GB2312" w:cs="仿宋_GB2312"/>
              <w:sz w:val="30"/>
              <w:szCs w:val="30"/>
            </w:rPr>
            <w:fldChar w:fldCharType="separate"/>
          </w:r>
          <w:r>
            <w:rPr>
              <w:sz w:val="30"/>
              <w:szCs w:val="30"/>
            </w:rPr>
            <w:t>2.2在校体验</w:t>
          </w:r>
          <w:r>
            <w:rPr>
              <w:sz w:val="30"/>
              <w:szCs w:val="30"/>
            </w:rPr>
            <w:tab/>
          </w:r>
          <w:r>
            <w:rPr>
              <w:sz w:val="30"/>
              <w:szCs w:val="30"/>
            </w:rPr>
            <w:fldChar w:fldCharType="begin"/>
          </w:r>
          <w:r>
            <w:rPr>
              <w:sz w:val="30"/>
              <w:szCs w:val="30"/>
            </w:rPr>
            <w:instrText xml:space="preserve"> PAGEREF _Toc5719 </w:instrText>
          </w:r>
          <w:r>
            <w:rPr>
              <w:sz w:val="30"/>
              <w:szCs w:val="30"/>
            </w:rPr>
            <w:fldChar w:fldCharType="separate"/>
          </w:r>
          <w:r>
            <w:rPr>
              <w:sz w:val="30"/>
              <w:szCs w:val="30"/>
            </w:rPr>
            <w:t>6</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_Toc14381 </w:instrText>
          </w:r>
          <w:r>
            <w:rPr>
              <w:rFonts w:ascii="仿宋_GB2312" w:hAnsi="仿宋_GB2312" w:eastAsia="仿宋_GB2312" w:cs="仿宋_GB2312"/>
              <w:sz w:val="30"/>
              <w:szCs w:val="30"/>
            </w:rPr>
            <w:fldChar w:fldCharType="separate"/>
          </w:r>
          <w:r>
            <w:rPr>
              <w:sz w:val="30"/>
              <w:szCs w:val="30"/>
            </w:rPr>
            <w:t>2.3资助情况</w:t>
          </w:r>
          <w:r>
            <w:rPr>
              <w:sz w:val="30"/>
              <w:szCs w:val="30"/>
            </w:rPr>
            <w:tab/>
          </w:r>
          <w:r>
            <w:rPr>
              <w:sz w:val="30"/>
              <w:szCs w:val="30"/>
            </w:rPr>
            <w:fldChar w:fldCharType="begin"/>
          </w:r>
          <w:r>
            <w:rPr>
              <w:sz w:val="30"/>
              <w:szCs w:val="30"/>
            </w:rPr>
            <w:instrText xml:space="preserve"> PAGEREF _Toc14381 </w:instrText>
          </w:r>
          <w:r>
            <w:rPr>
              <w:sz w:val="30"/>
              <w:szCs w:val="30"/>
            </w:rPr>
            <w:fldChar w:fldCharType="separate"/>
          </w:r>
          <w:r>
            <w:rPr>
              <w:sz w:val="30"/>
              <w:szCs w:val="30"/>
            </w:rPr>
            <w:t>7</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_Toc17566 </w:instrText>
          </w:r>
          <w:r>
            <w:rPr>
              <w:rFonts w:ascii="仿宋_GB2312" w:hAnsi="仿宋_GB2312" w:eastAsia="仿宋_GB2312" w:cs="仿宋_GB2312"/>
              <w:sz w:val="30"/>
              <w:szCs w:val="30"/>
            </w:rPr>
            <w:fldChar w:fldCharType="separate"/>
          </w:r>
          <w:r>
            <w:rPr>
              <w:sz w:val="30"/>
              <w:szCs w:val="30"/>
            </w:rPr>
            <w:t>2.4 就业质量</w:t>
          </w:r>
          <w:r>
            <w:rPr>
              <w:sz w:val="30"/>
              <w:szCs w:val="30"/>
            </w:rPr>
            <w:tab/>
          </w:r>
          <w:r>
            <w:rPr>
              <w:sz w:val="30"/>
              <w:szCs w:val="30"/>
            </w:rPr>
            <w:fldChar w:fldCharType="begin"/>
          </w:r>
          <w:r>
            <w:rPr>
              <w:sz w:val="30"/>
              <w:szCs w:val="30"/>
            </w:rPr>
            <w:instrText xml:space="preserve"> PAGEREF _Toc17566 </w:instrText>
          </w:r>
          <w:r>
            <w:rPr>
              <w:sz w:val="30"/>
              <w:szCs w:val="30"/>
            </w:rPr>
            <w:fldChar w:fldCharType="separate"/>
          </w:r>
          <w:r>
            <w:rPr>
              <w:sz w:val="30"/>
              <w:szCs w:val="30"/>
            </w:rPr>
            <w:t>8</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_Toc29918 </w:instrText>
          </w:r>
          <w:r>
            <w:rPr>
              <w:rFonts w:ascii="仿宋_GB2312" w:hAnsi="仿宋_GB2312" w:eastAsia="仿宋_GB2312" w:cs="仿宋_GB2312"/>
              <w:sz w:val="30"/>
              <w:szCs w:val="30"/>
            </w:rPr>
            <w:fldChar w:fldCharType="separate"/>
          </w:r>
          <w:r>
            <w:rPr>
              <w:sz w:val="30"/>
              <w:szCs w:val="30"/>
            </w:rPr>
            <w:t>2.5 职业发展</w:t>
          </w:r>
          <w:r>
            <w:rPr>
              <w:sz w:val="30"/>
              <w:szCs w:val="30"/>
            </w:rPr>
            <w:tab/>
          </w:r>
          <w:r>
            <w:rPr>
              <w:sz w:val="30"/>
              <w:szCs w:val="30"/>
            </w:rPr>
            <w:fldChar w:fldCharType="begin"/>
          </w:r>
          <w:r>
            <w:rPr>
              <w:sz w:val="30"/>
              <w:szCs w:val="30"/>
            </w:rPr>
            <w:instrText xml:space="preserve"> PAGEREF _Toc29918 </w:instrText>
          </w:r>
          <w:r>
            <w:rPr>
              <w:sz w:val="30"/>
              <w:szCs w:val="30"/>
            </w:rPr>
            <w:fldChar w:fldCharType="separate"/>
          </w:r>
          <w:r>
            <w:rPr>
              <w:sz w:val="30"/>
              <w:szCs w:val="30"/>
            </w:rPr>
            <w:t>8</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_Toc8466 </w:instrText>
          </w:r>
          <w:r>
            <w:rPr>
              <w:rFonts w:ascii="仿宋_GB2312" w:hAnsi="仿宋_GB2312" w:eastAsia="仿宋_GB2312" w:cs="仿宋_GB2312"/>
              <w:sz w:val="30"/>
              <w:szCs w:val="30"/>
            </w:rPr>
            <w:fldChar w:fldCharType="separate"/>
          </w:r>
          <w:r>
            <w:rPr>
              <w:rFonts w:hint="eastAsia"/>
              <w:sz w:val="30"/>
              <w:szCs w:val="30"/>
            </w:rPr>
            <w:t>3.质量保障措施</w:t>
          </w:r>
          <w:r>
            <w:rPr>
              <w:sz w:val="30"/>
              <w:szCs w:val="30"/>
            </w:rPr>
            <w:tab/>
          </w:r>
          <w:r>
            <w:rPr>
              <w:sz w:val="30"/>
              <w:szCs w:val="30"/>
            </w:rPr>
            <w:fldChar w:fldCharType="begin"/>
          </w:r>
          <w:r>
            <w:rPr>
              <w:sz w:val="30"/>
              <w:szCs w:val="30"/>
            </w:rPr>
            <w:instrText xml:space="preserve"> PAGEREF _Toc8466 </w:instrText>
          </w:r>
          <w:r>
            <w:rPr>
              <w:sz w:val="30"/>
              <w:szCs w:val="30"/>
            </w:rPr>
            <w:fldChar w:fldCharType="separate"/>
          </w:r>
          <w:r>
            <w:rPr>
              <w:sz w:val="30"/>
              <w:szCs w:val="30"/>
            </w:rPr>
            <w:t>9</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_Toc27784 </w:instrText>
          </w:r>
          <w:r>
            <w:rPr>
              <w:rFonts w:ascii="仿宋_GB2312" w:hAnsi="仿宋_GB2312" w:eastAsia="仿宋_GB2312" w:cs="仿宋_GB2312"/>
              <w:sz w:val="30"/>
              <w:szCs w:val="30"/>
            </w:rPr>
            <w:fldChar w:fldCharType="separate"/>
          </w:r>
          <w:r>
            <w:rPr>
              <w:sz w:val="30"/>
              <w:szCs w:val="30"/>
            </w:rPr>
            <w:t>3.1专业动态调整</w:t>
          </w:r>
          <w:r>
            <w:rPr>
              <w:sz w:val="30"/>
              <w:szCs w:val="30"/>
            </w:rPr>
            <w:tab/>
          </w:r>
          <w:r>
            <w:rPr>
              <w:sz w:val="30"/>
              <w:szCs w:val="30"/>
            </w:rPr>
            <w:fldChar w:fldCharType="begin"/>
          </w:r>
          <w:r>
            <w:rPr>
              <w:sz w:val="30"/>
              <w:szCs w:val="30"/>
            </w:rPr>
            <w:instrText xml:space="preserve"> PAGEREF _Toc27784 </w:instrText>
          </w:r>
          <w:r>
            <w:rPr>
              <w:sz w:val="30"/>
              <w:szCs w:val="30"/>
            </w:rPr>
            <w:fldChar w:fldCharType="separate"/>
          </w:r>
          <w:r>
            <w:rPr>
              <w:sz w:val="30"/>
              <w:szCs w:val="30"/>
            </w:rPr>
            <w:t>9</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_Toc18633 </w:instrText>
          </w:r>
          <w:r>
            <w:rPr>
              <w:rFonts w:ascii="仿宋_GB2312" w:hAnsi="仿宋_GB2312" w:eastAsia="仿宋_GB2312" w:cs="仿宋_GB2312"/>
              <w:sz w:val="30"/>
              <w:szCs w:val="30"/>
            </w:rPr>
            <w:fldChar w:fldCharType="separate"/>
          </w:r>
          <w:r>
            <w:rPr>
              <w:sz w:val="30"/>
              <w:szCs w:val="30"/>
            </w:rPr>
            <w:t>3.2教育教学改革</w:t>
          </w:r>
          <w:r>
            <w:rPr>
              <w:sz w:val="30"/>
              <w:szCs w:val="30"/>
            </w:rPr>
            <w:tab/>
          </w:r>
          <w:r>
            <w:rPr>
              <w:sz w:val="30"/>
              <w:szCs w:val="30"/>
            </w:rPr>
            <w:fldChar w:fldCharType="begin"/>
          </w:r>
          <w:r>
            <w:rPr>
              <w:sz w:val="30"/>
              <w:szCs w:val="30"/>
            </w:rPr>
            <w:instrText xml:space="preserve"> PAGEREF _Toc18633 </w:instrText>
          </w:r>
          <w:r>
            <w:rPr>
              <w:sz w:val="30"/>
              <w:szCs w:val="30"/>
            </w:rPr>
            <w:fldChar w:fldCharType="separate"/>
          </w:r>
          <w:r>
            <w:rPr>
              <w:sz w:val="30"/>
              <w:szCs w:val="30"/>
            </w:rPr>
            <w:t>9</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_Toc19034 </w:instrText>
          </w:r>
          <w:r>
            <w:rPr>
              <w:rFonts w:ascii="仿宋_GB2312" w:hAnsi="仿宋_GB2312" w:eastAsia="仿宋_GB2312" w:cs="仿宋_GB2312"/>
              <w:sz w:val="30"/>
              <w:szCs w:val="30"/>
            </w:rPr>
            <w:fldChar w:fldCharType="separate"/>
          </w:r>
          <w:r>
            <w:rPr>
              <w:sz w:val="30"/>
              <w:szCs w:val="30"/>
            </w:rPr>
            <w:t>3.3教师培养培训</w:t>
          </w:r>
          <w:r>
            <w:rPr>
              <w:sz w:val="30"/>
              <w:szCs w:val="30"/>
            </w:rPr>
            <w:tab/>
          </w:r>
          <w:r>
            <w:rPr>
              <w:sz w:val="30"/>
              <w:szCs w:val="30"/>
            </w:rPr>
            <w:fldChar w:fldCharType="begin"/>
          </w:r>
          <w:r>
            <w:rPr>
              <w:sz w:val="30"/>
              <w:szCs w:val="30"/>
            </w:rPr>
            <w:instrText xml:space="preserve"> PAGEREF _Toc19034 </w:instrText>
          </w:r>
          <w:r>
            <w:rPr>
              <w:sz w:val="30"/>
              <w:szCs w:val="30"/>
            </w:rPr>
            <w:fldChar w:fldCharType="separate"/>
          </w:r>
          <w:r>
            <w:rPr>
              <w:sz w:val="30"/>
              <w:szCs w:val="30"/>
            </w:rPr>
            <w:t>11</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_Toc25828 </w:instrText>
          </w:r>
          <w:r>
            <w:rPr>
              <w:rFonts w:ascii="仿宋_GB2312" w:hAnsi="仿宋_GB2312" w:eastAsia="仿宋_GB2312" w:cs="仿宋_GB2312"/>
              <w:sz w:val="30"/>
              <w:szCs w:val="30"/>
            </w:rPr>
            <w:fldChar w:fldCharType="separate"/>
          </w:r>
          <w:r>
            <w:rPr>
              <w:sz w:val="30"/>
              <w:szCs w:val="30"/>
            </w:rPr>
            <w:t>3.4规范管理情况</w:t>
          </w:r>
          <w:r>
            <w:rPr>
              <w:sz w:val="30"/>
              <w:szCs w:val="30"/>
            </w:rPr>
            <w:tab/>
          </w:r>
          <w:r>
            <w:rPr>
              <w:sz w:val="30"/>
              <w:szCs w:val="30"/>
            </w:rPr>
            <w:fldChar w:fldCharType="begin"/>
          </w:r>
          <w:r>
            <w:rPr>
              <w:sz w:val="30"/>
              <w:szCs w:val="30"/>
            </w:rPr>
            <w:instrText xml:space="preserve"> PAGEREF _Toc25828 </w:instrText>
          </w:r>
          <w:r>
            <w:rPr>
              <w:sz w:val="30"/>
              <w:szCs w:val="30"/>
            </w:rPr>
            <w:fldChar w:fldCharType="separate"/>
          </w:r>
          <w:r>
            <w:rPr>
              <w:sz w:val="30"/>
              <w:szCs w:val="30"/>
            </w:rPr>
            <w:t>11</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_Toc31153 </w:instrText>
          </w:r>
          <w:r>
            <w:rPr>
              <w:rFonts w:ascii="仿宋_GB2312" w:hAnsi="仿宋_GB2312" w:eastAsia="仿宋_GB2312" w:cs="仿宋_GB2312"/>
              <w:sz w:val="30"/>
              <w:szCs w:val="30"/>
            </w:rPr>
            <w:fldChar w:fldCharType="separate"/>
          </w:r>
          <w:r>
            <w:rPr>
              <w:sz w:val="30"/>
              <w:szCs w:val="30"/>
            </w:rPr>
            <w:t>3.5德育工作情况</w:t>
          </w:r>
          <w:r>
            <w:rPr>
              <w:sz w:val="30"/>
              <w:szCs w:val="30"/>
            </w:rPr>
            <w:tab/>
          </w:r>
          <w:r>
            <w:rPr>
              <w:sz w:val="30"/>
              <w:szCs w:val="30"/>
            </w:rPr>
            <w:fldChar w:fldCharType="begin"/>
          </w:r>
          <w:r>
            <w:rPr>
              <w:sz w:val="30"/>
              <w:szCs w:val="30"/>
            </w:rPr>
            <w:instrText xml:space="preserve"> PAGEREF _Toc31153 </w:instrText>
          </w:r>
          <w:r>
            <w:rPr>
              <w:sz w:val="30"/>
              <w:szCs w:val="30"/>
            </w:rPr>
            <w:fldChar w:fldCharType="separate"/>
          </w:r>
          <w:r>
            <w:rPr>
              <w:sz w:val="30"/>
              <w:szCs w:val="30"/>
            </w:rPr>
            <w:t>14</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_Toc30654 </w:instrText>
          </w:r>
          <w:r>
            <w:rPr>
              <w:rFonts w:ascii="仿宋_GB2312" w:hAnsi="仿宋_GB2312" w:eastAsia="仿宋_GB2312" w:cs="仿宋_GB2312"/>
              <w:sz w:val="30"/>
              <w:szCs w:val="30"/>
            </w:rPr>
            <w:fldChar w:fldCharType="separate"/>
          </w:r>
          <w:r>
            <w:rPr>
              <w:sz w:val="30"/>
              <w:szCs w:val="30"/>
            </w:rPr>
            <w:t>3.6党建情况</w:t>
          </w:r>
          <w:r>
            <w:rPr>
              <w:sz w:val="30"/>
              <w:szCs w:val="30"/>
            </w:rPr>
            <w:tab/>
          </w:r>
          <w:r>
            <w:rPr>
              <w:sz w:val="30"/>
              <w:szCs w:val="30"/>
            </w:rPr>
            <w:fldChar w:fldCharType="begin"/>
          </w:r>
          <w:r>
            <w:rPr>
              <w:sz w:val="30"/>
              <w:szCs w:val="30"/>
            </w:rPr>
            <w:instrText xml:space="preserve"> PAGEREF _Toc30654 </w:instrText>
          </w:r>
          <w:r>
            <w:rPr>
              <w:sz w:val="30"/>
              <w:szCs w:val="30"/>
            </w:rPr>
            <w:fldChar w:fldCharType="separate"/>
          </w:r>
          <w:r>
            <w:rPr>
              <w:sz w:val="30"/>
              <w:szCs w:val="30"/>
            </w:rPr>
            <w:t>16</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_Toc9984 </w:instrText>
          </w:r>
          <w:r>
            <w:rPr>
              <w:rFonts w:ascii="仿宋_GB2312" w:hAnsi="仿宋_GB2312" w:eastAsia="仿宋_GB2312" w:cs="仿宋_GB2312"/>
              <w:sz w:val="30"/>
              <w:szCs w:val="30"/>
            </w:rPr>
            <w:fldChar w:fldCharType="separate"/>
          </w:r>
          <w:r>
            <w:rPr>
              <w:rFonts w:hint="eastAsia"/>
              <w:sz w:val="30"/>
              <w:szCs w:val="30"/>
            </w:rPr>
            <w:t>4.校企合作</w:t>
          </w:r>
          <w:r>
            <w:rPr>
              <w:sz w:val="30"/>
              <w:szCs w:val="30"/>
            </w:rPr>
            <w:tab/>
          </w:r>
          <w:r>
            <w:rPr>
              <w:sz w:val="30"/>
              <w:szCs w:val="30"/>
            </w:rPr>
            <w:fldChar w:fldCharType="begin"/>
          </w:r>
          <w:r>
            <w:rPr>
              <w:sz w:val="30"/>
              <w:szCs w:val="30"/>
            </w:rPr>
            <w:instrText xml:space="preserve"> PAGEREF _Toc9984 </w:instrText>
          </w:r>
          <w:r>
            <w:rPr>
              <w:sz w:val="30"/>
              <w:szCs w:val="30"/>
            </w:rPr>
            <w:fldChar w:fldCharType="separate"/>
          </w:r>
          <w:r>
            <w:rPr>
              <w:sz w:val="30"/>
              <w:szCs w:val="30"/>
            </w:rPr>
            <w:t>18</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_Toc4270 </w:instrText>
          </w:r>
          <w:r>
            <w:rPr>
              <w:rFonts w:ascii="仿宋_GB2312" w:hAnsi="仿宋_GB2312" w:eastAsia="仿宋_GB2312" w:cs="仿宋_GB2312"/>
              <w:sz w:val="30"/>
              <w:szCs w:val="30"/>
            </w:rPr>
            <w:fldChar w:fldCharType="separate"/>
          </w:r>
          <w:r>
            <w:rPr>
              <w:sz w:val="30"/>
              <w:szCs w:val="30"/>
            </w:rPr>
            <w:t>4.1 校企合作开展情况和效果</w:t>
          </w:r>
          <w:r>
            <w:rPr>
              <w:sz w:val="30"/>
              <w:szCs w:val="30"/>
            </w:rPr>
            <w:tab/>
          </w:r>
          <w:r>
            <w:rPr>
              <w:sz w:val="30"/>
              <w:szCs w:val="30"/>
            </w:rPr>
            <w:fldChar w:fldCharType="begin"/>
          </w:r>
          <w:r>
            <w:rPr>
              <w:sz w:val="30"/>
              <w:szCs w:val="30"/>
            </w:rPr>
            <w:instrText xml:space="preserve"> PAGEREF _Toc4270 </w:instrText>
          </w:r>
          <w:r>
            <w:rPr>
              <w:sz w:val="30"/>
              <w:szCs w:val="30"/>
            </w:rPr>
            <w:fldChar w:fldCharType="separate"/>
          </w:r>
          <w:r>
            <w:rPr>
              <w:sz w:val="30"/>
              <w:szCs w:val="30"/>
            </w:rPr>
            <w:t>18</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_Toc21045 </w:instrText>
          </w:r>
          <w:r>
            <w:rPr>
              <w:rFonts w:ascii="仿宋_GB2312" w:hAnsi="仿宋_GB2312" w:eastAsia="仿宋_GB2312" w:cs="仿宋_GB2312"/>
              <w:sz w:val="30"/>
              <w:szCs w:val="30"/>
            </w:rPr>
            <w:fldChar w:fldCharType="separate"/>
          </w:r>
          <w:r>
            <w:rPr>
              <w:sz w:val="30"/>
              <w:szCs w:val="30"/>
            </w:rPr>
            <w:t>4.2 学生实习情况</w:t>
          </w:r>
          <w:r>
            <w:rPr>
              <w:sz w:val="30"/>
              <w:szCs w:val="30"/>
            </w:rPr>
            <w:tab/>
          </w:r>
          <w:r>
            <w:rPr>
              <w:sz w:val="30"/>
              <w:szCs w:val="30"/>
            </w:rPr>
            <w:fldChar w:fldCharType="begin"/>
          </w:r>
          <w:r>
            <w:rPr>
              <w:sz w:val="30"/>
              <w:szCs w:val="30"/>
            </w:rPr>
            <w:instrText xml:space="preserve"> PAGEREF _Toc21045 </w:instrText>
          </w:r>
          <w:r>
            <w:rPr>
              <w:sz w:val="30"/>
              <w:szCs w:val="30"/>
            </w:rPr>
            <w:fldChar w:fldCharType="separate"/>
          </w:r>
          <w:r>
            <w:rPr>
              <w:sz w:val="30"/>
              <w:szCs w:val="30"/>
            </w:rPr>
            <w:t>21</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_Toc8985 </w:instrText>
          </w:r>
          <w:r>
            <w:rPr>
              <w:rFonts w:ascii="仿宋_GB2312" w:hAnsi="仿宋_GB2312" w:eastAsia="仿宋_GB2312" w:cs="仿宋_GB2312"/>
              <w:sz w:val="30"/>
              <w:szCs w:val="30"/>
            </w:rPr>
            <w:fldChar w:fldCharType="separate"/>
          </w:r>
          <w:r>
            <w:rPr>
              <w:sz w:val="30"/>
              <w:szCs w:val="30"/>
            </w:rPr>
            <w:t>4.3</w:t>
          </w:r>
          <w:r>
            <w:rPr>
              <w:rFonts w:hint="eastAsia"/>
              <w:sz w:val="30"/>
              <w:szCs w:val="30"/>
              <w:lang w:val="en-US" w:eastAsia="zh-CN"/>
            </w:rPr>
            <w:t xml:space="preserve"> 1+X证书试点</w:t>
          </w:r>
          <w:r>
            <w:rPr>
              <w:sz w:val="30"/>
              <w:szCs w:val="30"/>
            </w:rPr>
            <w:t>情况</w:t>
          </w:r>
          <w:r>
            <w:rPr>
              <w:sz w:val="30"/>
              <w:szCs w:val="30"/>
            </w:rPr>
            <w:tab/>
          </w:r>
          <w:r>
            <w:rPr>
              <w:sz w:val="30"/>
              <w:szCs w:val="30"/>
            </w:rPr>
            <w:fldChar w:fldCharType="begin"/>
          </w:r>
          <w:r>
            <w:rPr>
              <w:sz w:val="30"/>
              <w:szCs w:val="30"/>
            </w:rPr>
            <w:instrText xml:space="preserve"> PAGEREF _Toc8985 </w:instrText>
          </w:r>
          <w:r>
            <w:rPr>
              <w:sz w:val="30"/>
              <w:szCs w:val="30"/>
            </w:rPr>
            <w:fldChar w:fldCharType="separate"/>
          </w:r>
          <w:r>
            <w:rPr>
              <w:sz w:val="30"/>
              <w:szCs w:val="30"/>
            </w:rPr>
            <w:t>22</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_Toc31861 </w:instrText>
          </w:r>
          <w:r>
            <w:rPr>
              <w:rFonts w:ascii="仿宋_GB2312" w:hAnsi="仿宋_GB2312" w:eastAsia="仿宋_GB2312" w:cs="仿宋_GB2312"/>
              <w:sz w:val="30"/>
              <w:szCs w:val="30"/>
            </w:rPr>
            <w:fldChar w:fldCharType="separate"/>
          </w:r>
          <w:r>
            <w:rPr>
              <w:sz w:val="30"/>
              <w:szCs w:val="30"/>
            </w:rPr>
            <w:t>4.</w:t>
          </w:r>
          <w:r>
            <w:rPr>
              <w:rFonts w:hint="eastAsia"/>
              <w:sz w:val="30"/>
              <w:szCs w:val="30"/>
              <w:lang w:val="en-US" w:eastAsia="zh-CN"/>
            </w:rPr>
            <w:t>4</w:t>
          </w:r>
          <w:r>
            <w:rPr>
              <w:rFonts w:hint="eastAsia"/>
              <w:sz w:val="30"/>
              <w:szCs w:val="30"/>
              <w:lang w:eastAsia="zh-CN"/>
            </w:rPr>
            <w:t>现代学徒制试点</w:t>
          </w:r>
          <w:r>
            <w:rPr>
              <w:sz w:val="30"/>
              <w:szCs w:val="30"/>
            </w:rPr>
            <w:t>情况</w:t>
          </w:r>
          <w:r>
            <w:rPr>
              <w:sz w:val="30"/>
              <w:szCs w:val="30"/>
            </w:rPr>
            <w:tab/>
          </w:r>
          <w:r>
            <w:rPr>
              <w:sz w:val="30"/>
              <w:szCs w:val="30"/>
            </w:rPr>
            <w:fldChar w:fldCharType="begin"/>
          </w:r>
          <w:r>
            <w:rPr>
              <w:sz w:val="30"/>
              <w:szCs w:val="30"/>
            </w:rPr>
            <w:instrText xml:space="preserve"> PAGEREF _Toc31861 </w:instrText>
          </w:r>
          <w:r>
            <w:rPr>
              <w:sz w:val="30"/>
              <w:szCs w:val="30"/>
            </w:rPr>
            <w:fldChar w:fldCharType="separate"/>
          </w:r>
          <w:r>
            <w:rPr>
              <w:sz w:val="30"/>
              <w:szCs w:val="30"/>
            </w:rPr>
            <w:t>22</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_Toc9980 </w:instrText>
          </w:r>
          <w:r>
            <w:rPr>
              <w:rFonts w:ascii="仿宋_GB2312" w:hAnsi="仿宋_GB2312" w:eastAsia="仿宋_GB2312" w:cs="仿宋_GB2312"/>
              <w:sz w:val="30"/>
              <w:szCs w:val="30"/>
            </w:rPr>
            <w:fldChar w:fldCharType="separate"/>
          </w:r>
          <w:r>
            <w:rPr>
              <w:sz w:val="30"/>
              <w:szCs w:val="30"/>
            </w:rPr>
            <w:t>4.</w:t>
          </w:r>
          <w:r>
            <w:rPr>
              <w:rFonts w:hint="eastAsia"/>
              <w:sz w:val="30"/>
              <w:szCs w:val="30"/>
              <w:lang w:val="en-US" w:eastAsia="zh-CN"/>
            </w:rPr>
            <w:t>5</w:t>
          </w:r>
          <w:r>
            <w:rPr>
              <w:sz w:val="30"/>
              <w:szCs w:val="30"/>
            </w:rPr>
            <w:t>集团化办学情况</w:t>
          </w:r>
          <w:r>
            <w:rPr>
              <w:sz w:val="30"/>
              <w:szCs w:val="30"/>
            </w:rPr>
            <w:tab/>
          </w:r>
          <w:r>
            <w:rPr>
              <w:sz w:val="30"/>
              <w:szCs w:val="30"/>
            </w:rPr>
            <w:fldChar w:fldCharType="begin"/>
          </w:r>
          <w:r>
            <w:rPr>
              <w:sz w:val="30"/>
              <w:szCs w:val="30"/>
            </w:rPr>
            <w:instrText xml:space="preserve"> PAGEREF _Toc9980 </w:instrText>
          </w:r>
          <w:r>
            <w:rPr>
              <w:sz w:val="30"/>
              <w:szCs w:val="30"/>
            </w:rPr>
            <w:fldChar w:fldCharType="separate"/>
          </w:r>
          <w:r>
            <w:rPr>
              <w:sz w:val="30"/>
              <w:szCs w:val="30"/>
            </w:rPr>
            <w:t>22</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_Toc29573 </w:instrText>
          </w:r>
          <w:r>
            <w:rPr>
              <w:rFonts w:ascii="仿宋_GB2312" w:hAnsi="仿宋_GB2312" w:eastAsia="仿宋_GB2312" w:cs="仿宋_GB2312"/>
              <w:sz w:val="30"/>
              <w:szCs w:val="30"/>
            </w:rPr>
            <w:fldChar w:fldCharType="separate"/>
          </w:r>
          <w:r>
            <w:rPr>
              <w:rFonts w:hint="eastAsia"/>
              <w:sz w:val="30"/>
              <w:szCs w:val="30"/>
            </w:rPr>
            <w:t>5.社会贡献</w:t>
          </w:r>
          <w:r>
            <w:rPr>
              <w:sz w:val="30"/>
              <w:szCs w:val="30"/>
            </w:rPr>
            <w:tab/>
          </w:r>
          <w:r>
            <w:rPr>
              <w:sz w:val="30"/>
              <w:szCs w:val="30"/>
            </w:rPr>
            <w:fldChar w:fldCharType="begin"/>
          </w:r>
          <w:r>
            <w:rPr>
              <w:sz w:val="30"/>
              <w:szCs w:val="30"/>
            </w:rPr>
            <w:instrText xml:space="preserve"> PAGEREF _Toc29573 </w:instrText>
          </w:r>
          <w:r>
            <w:rPr>
              <w:sz w:val="30"/>
              <w:szCs w:val="30"/>
            </w:rPr>
            <w:fldChar w:fldCharType="separate"/>
          </w:r>
          <w:r>
            <w:rPr>
              <w:sz w:val="30"/>
              <w:szCs w:val="30"/>
            </w:rPr>
            <w:t>22</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_Toc6590 </w:instrText>
          </w:r>
          <w:r>
            <w:rPr>
              <w:rFonts w:ascii="仿宋_GB2312" w:hAnsi="仿宋_GB2312" w:eastAsia="仿宋_GB2312" w:cs="仿宋_GB2312"/>
              <w:sz w:val="30"/>
              <w:szCs w:val="30"/>
            </w:rPr>
            <w:fldChar w:fldCharType="separate"/>
          </w:r>
          <w:r>
            <w:rPr>
              <w:sz w:val="30"/>
              <w:szCs w:val="30"/>
            </w:rPr>
            <w:t>5.1 技术技能人才培养</w:t>
          </w:r>
          <w:r>
            <w:rPr>
              <w:sz w:val="30"/>
              <w:szCs w:val="30"/>
            </w:rPr>
            <w:tab/>
          </w:r>
          <w:r>
            <w:rPr>
              <w:sz w:val="30"/>
              <w:szCs w:val="30"/>
            </w:rPr>
            <w:fldChar w:fldCharType="begin"/>
          </w:r>
          <w:r>
            <w:rPr>
              <w:sz w:val="30"/>
              <w:szCs w:val="30"/>
            </w:rPr>
            <w:instrText xml:space="preserve"> PAGEREF _Toc6590 </w:instrText>
          </w:r>
          <w:r>
            <w:rPr>
              <w:sz w:val="30"/>
              <w:szCs w:val="30"/>
            </w:rPr>
            <w:fldChar w:fldCharType="separate"/>
          </w:r>
          <w:r>
            <w:rPr>
              <w:sz w:val="30"/>
              <w:szCs w:val="30"/>
            </w:rPr>
            <w:t>22</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_Toc29444 </w:instrText>
          </w:r>
          <w:r>
            <w:rPr>
              <w:rFonts w:ascii="仿宋_GB2312" w:hAnsi="仿宋_GB2312" w:eastAsia="仿宋_GB2312" w:cs="仿宋_GB2312"/>
              <w:sz w:val="30"/>
              <w:szCs w:val="30"/>
            </w:rPr>
            <w:fldChar w:fldCharType="separate"/>
          </w:r>
          <w:r>
            <w:rPr>
              <w:sz w:val="30"/>
              <w:szCs w:val="30"/>
            </w:rPr>
            <w:t>5.2 社会服务</w:t>
          </w:r>
          <w:r>
            <w:rPr>
              <w:sz w:val="30"/>
              <w:szCs w:val="30"/>
            </w:rPr>
            <w:tab/>
          </w:r>
          <w:r>
            <w:rPr>
              <w:sz w:val="30"/>
              <w:szCs w:val="30"/>
            </w:rPr>
            <w:fldChar w:fldCharType="begin"/>
          </w:r>
          <w:r>
            <w:rPr>
              <w:sz w:val="30"/>
              <w:szCs w:val="30"/>
            </w:rPr>
            <w:instrText xml:space="preserve"> PAGEREF _Toc29444 </w:instrText>
          </w:r>
          <w:r>
            <w:rPr>
              <w:sz w:val="30"/>
              <w:szCs w:val="30"/>
            </w:rPr>
            <w:fldChar w:fldCharType="separate"/>
          </w:r>
          <w:r>
            <w:rPr>
              <w:sz w:val="30"/>
              <w:szCs w:val="30"/>
            </w:rPr>
            <w:t>23</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_Toc29969 </w:instrText>
          </w:r>
          <w:r>
            <w:rPr>
              <w:rFonts w:ascii="仿宋_GB2312" w:hAnsi="仿宋_GB2312" w:eastAsia="仿宋_GB2312" w:cs="仿宋_GB2312"/>
              <w:sz w:val="30"/>
              <w:szCs w:val="30"/>
            </w:rPr>
            <w:fldChar w:fldCharType="separate"/>
          </w:r>
          <w:r>
            <w:rPr>
              <w:sz w:val="30"/>
              <w:szCs w:val="30"/>
            </w:rPr>
            <w:t>5.3对口支援</w:t>
          </w:r>
          <w:r>
            <w:rPr>
              <w:sz w:val="30"/>
              <w:szCs w:val="30"/>
            </w:rPr>
            <w:tab/>
          </w:r>
          <w:r>
            <w:rPr>
              <w:sz w:val="30"/>
              <w:szCs w:val="30"/>
            </w:rPr>
            <w:fldChar w:fldCharType="begin"/>
          </w:r>
          <w:r>
            <w:rPr>
              <w:sz w:val="30"/>
              <w:szCs w:val="30"/>
            </w:rPr>
            <w:instrText xml:space="preserve"> PAGEREF _Toc29969 </w:instrText>
          </w:r>
          <w:r>
            <w:rPr>
              <w:sz w:val="30"/>
              <w:szCs w:val="30"/>
            </w:rPr>
            <w:fldChar w:fldCharType="separate"/>
          </w:r>
          <w:r>
            <w:rPr>
              <w:sz w:val="30"/>
              <w:szCs w:val="30"/>
            </w:rPr>
            <w:t>24</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_Toc12351 </w:instrText>
          </w:r>
          <w:r>
            <w:rPr>
              <w:rFonts w:ascii="仿宋_GB2312" w:hAnsi="仿宋_GB2312" w:eastAsia="仿宋_GB2312" w:cs="仿宋_GB2312"/>
              <w:sz w:val="30"/>
              <w:szCs w:val="30"/>
            </w:rPr>
            <w:fldChar w:fldCharType="separate"/>
          </w:r>
          <w:r>
            <w:rPr>
              <w:sz w:val="30"/>
              <w:szCs w:val="30"/>
            </w:rPr>
            <w:t>5.</w:t>
          </w:r>
          <w:r>
            <w:rPr>
              <w:rFonts w:hint="eastAsia"/>
              <w:sz w:val="30"/>
              <w:szCs w:val="30"/>
              <w:lang w:val="en-US" w:eastAsia="zh-CN"/>
            </w:rPr>
            <w:t>4</w:t>
          </w:r>
          <w:r>
            <w:rPr>
              <w:rFonts w:hint="eastAsia"/>
              <w:sz w:val="30"/>
              <w:szCs w:val="30"/>
              <w:lang w:eastAsia="zh-CN"/>
            </w:rPr>
            <w:t>服务抗疫</w:t>
          </w:r>
          <w:r>
            <w:rPr>
              <w:sz w:val="30"/>
              <w:szCs w:val="30"/>
            </w:rPr>
            <w:tab/>
          </w:r>
          <w:r>
            <w:rPr>
              <w:sz w:val="30"/>
              <w:szCs w:val="30"/>
            </w:rPr>
            <w:fldChar w:fldCharType="begin"/>
          </w:r>
          <w:r>
            <w:rPr>
              <w:sz w:val="30"/>
              <w:szCs w:val="30"/>
            </w:rPr>
            <w:instrText xml:space="preserve"> PAGEREF _Toc12351 </w:instrText>
          </w:r>
          <w:r>
            <w:rPr>
              <w:sz w:val="30"/>
              <w:szCs w:val="30"/>
            </w:rPr>
            <w:fldChar w:fldCharType="separate"/>
          </w:r>
          <w:r>
            <w:rPr>
              <w:sz w:val="30"/>
              <w:szCs w:val="30"/>
            </w:rPr>
            <w:t>24</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_Toc14819 </w:instrText>
          </w:r>
          <w:r>
            <w:rPr>
              <w:rFonts w:ascii="仿宋_GB2312" w:hAnsi="仿宋_GB2312" w:eastAsia="仿宋_GB2312" w:cs="仿宋_GB2312"/>
              <w:sz w:val="30"/>
              <w:szCs w:val="30"/>
            </w:rPr>
            <w:fldChar w:fldCharType="separate"/>
          </w:r>
          <w:r>
            <w:rPr>
              <w:rFonts w:hint="eastAsia"/>
              <w:sz w:val="30"/>
              <w:szCs w:val="30"/>
            </w:rPr>
            <w:t>6.举办者履责</w:t>
          </w:r>
          <w:r>
            <w:rPr>
              <w:sz w:val="30"/>
              <w:szCs w:val="30"/>
            </w:rPr>
            <w:tab/>
          </w:r>
          <w:r>
            <w:rPr>
              <w:sz w:val="30"/>
              <w:szCs w:val="30"/>
            </w:rPr>
            <w:fldChar w:fldCharType="begin"/>
          </w:r>
          <w:r>
            <w:rPr>
              <w:sz w:val="30"/>
              <w:szCs w:val="30"/>
            </w:rPr>
            <w:instrText xml:space="preserve"> PAGEREF _Toc14819 </w:instrText>
          </w:r>
          <w:r>
            <w:rPr>
              <w:sz w:val="30"/>
              <w:szCs w:val="30"/>
            </w:rPr>
            <w:fldChar w:fldCharType="separate"/>
          </w:r>
          <w:r>
            <w:rPr>
              <w:sz w:val="30"/>
              <w:szCs w:val="30"/>
            </w:rPr>
            <w:t>25</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_Toc11741 </w:instrText>
          </w:r>
          <w:r>
            <w:rPr>
              <w:rFonts w:ascii="仿宋_GB2312" w:hAnsi="仿宋_GB2312" w:eastAsia="仿宋_GB2312" w:cs="仿宋_GB2312"/>
              <w:sz w:val="30"/>
              <w:szCs w:val="30"/>
            </w:rPr>
            <w:fldChar w:fldCharType="separate"/>
          </w:r>
          <w:r>
            <w:rPr>
              <w:sz w:val="30"/>
              <w:szCs w:val="30"/>
            </w:rPr>
            <w:t>6.1经费</w:t>
          </w:r>
          <w:r>
            <w:rPr>
              <w:sz w:val="30"/>
              <w:szCs w:val="30"/>
            </w:rPr>
            <w:tab/>
          </w:r>
          <w:r>
            <w:rPr>
              <w:sz w:val="30"/>
              <w:szCs w:val="30"/>
            </w:rPr>
            <w:fldChar w:fldCharType="begin"/>
          </w:r>
          <w:r>
            <w:rPr>
              <w:sz w:val="30"/>
              <w:szCs w:val="30"/>
            </w:rPr>
            <w:instrText xml:space="preserve"> PAGEREF _Toc11741 </w:instrText>
          </w:r>
          <w:r>
            <w:rPr>
              <w:sz w:val="30"/>
              <w:szCs w:val="30"/>
            </w:rPr>
            <w:fldChar w:fldCharType="separate"/>
          </w:r>
          <w:r>
            <w:rPr>
              <w:sz w:val="30"/>
              <w:szCs w:val="30"/>
            </w:rPr>
            <w:t>25</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_Toc6125 </w:instrText>
          </w:r>
          <w:r>
            <w:rPr>
              <w:rFonts w:ascii="仿宋_GB2312" w:hAnsi="仿宋_GB2312" w:eastAsia="仿宋_GB2312" w:cs="仿宋_GB2312"/>
              <w:sz w:val="30"/>
              <w:szCs w:val="30"/>
            </w:rPr>
            <w:fldChar w:fldCharType="separate"/>
          </w:r>
          <w:r>
            <w:rPr>
              <w:sz w:val="30"/>
              <w:szCs w:val="30"/>
            </w:rPr>
            <w:t>6.2政策措施</w:t>
          </w:r>
          <w:r>
            <w:rPr>
              <w:sz w:val="30"/>
              <w:szCs w:val="30"/>
            </w:rPr>
            <w:tab/>
          </w:r>
          <w:r>
            <w:rPr>
              <w:sz w:val="30"/>
              <w:szCs w:val="30"/>
            </w:rPr>
            <w:fldChar w:fldCharType="begin"/>
          </w:r>
          <w:r>
            <w:rPr>
              <w:sz w:val="30"/>
              <w:szCs w:val="30"/>
            </w:rPr>
            <w:instrText xml:space="preserve"> PAGEREF _Toc6125 </w:instrText>
          </w:r>
          <w:r>
            <w:rPr>
              <w:sz w:val="30"/>
              <w:szCs w:val="30"/>
            </w:rPr>
            <w:fldChar w:fldCharType="separate"/>
          </w:r>
          <w:r>
            <w:rPr>
              <w:sz w:val="30"/>
              <w:szCs w:val="30"/>
            </w:rPr>
            <w:t>25</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_Toc23990 </w:instrText>
          </w:r>
          <w:r>
            <w:rPr>
              <w:rFonts w:ascii="仿宋_GB2312" w:hAnsi="仿宋_GB2312" w:eastAsia="仿宋_GB2312" w:cs="仿宋_GB2312"/>
              <w:sz w:val="30"/>
              <w:szCs w:val="30"/>
            </w:rPr>
            <w:fldChar w:fldCharType="separate"/>
          </w:r>
          <w:r>
            <w:rPr>
              <w:rFonts w:hint="eastAsia"/>
              <w:sz w:val="30"/>
              <w:szCs w:val="30"/>
            </w:rPr>
            <w:t>7.特色创新</w:t>
          </w:r>
          <w:r>
            <w:rPr>
              <w:sz w:val="30"/>
              <w:szCs w:val="30"/>
            </w:rPr>
            <w:tab/>
          </w:r>
          <w:r>
            <w:rPr>
              <w:sz w:val="30"/>
              <w:szCs w:val="30"/>
            </w:rPr>
            <w:fldChar w:fldCharType="begin"/>
          </w:r>
          <w:r>
            <w:rPr>
              <w:sz w:val="30"/>
              <w:szCs w:val="30"/>
            </w:rPr>
            <w:instrText xml:space="preserve"> PAGEREF _Toc23990 </w:instrText>
          </w:r>
          <w:r>
            <w:rPr>
              <w:sz w:val="30"/>
              <w:szCs w:val="30"/>
            </w:rPr>
            <w:fldChar w:fldCharType="separate"/>
          </w:r>
          <w:r>
            <w:rPr>
              <w:sz w:val="30"/>
              <w:szCs w:val="30"/>
            </w:rPr>
            <w:t>25</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_Toc16029 </w:instrText>
          </w:r>
          <w:r>
            <w:rPr>
              <w:rFonts w:ascii="仿宋_GB2312" w:hAnsi="仿宋_GB2312" w:eastAsia="仿宋_GB2312" w:cs="仿宋_GB2312"/>
              <w:sz w:val="30"/>
              <w:szCs w:val="30"/>
            </w:rPr>
            <w:fldChar w:fldCharType="separate"/>
          </w:r>
          <w:r>
            <w:rPr>
              <w:sz w:val="30"/>
              <w:szCs w:val="30"/>
            </w:rPr>
            <w:t>【德育案例】</w:t>
          </w:r>
          <w:r>
            <w:rPr>
              <w:rFonts w:hint="eastAsia"/>
              <w:sz w:val="30"/>
              <w:szCs w:val="30"/>
              <w:lang w:val="en-US" w:eastAsia="zh-CN"/>
            </w:rPr>
            <w:t>将立德树人贯穿教育教学的始终——创新德育工作方式</w:t>
          </w:r>
          <w:r>
            <w:rPr>
              <w:sz w:val="30"/>
              <w:szCs w:val="30"/>
            </w:rPr>
            <w:tab/>
          </w:r>
          <w:r>
            <w:rPr>
              <w:sz w:val="30"/>
              <w:szCs w:val="30"/>
            </w:rPr>
            <w:fldChar w:fldCharType="begin"/>
          </w:r>
          <w:r>
            <w:rPr>
              <w:sz w:val="30"/>
              <w:szCs w:val="30"/>
            </w:rPr>
            <w:instrText xml:space="preserve"> PAGEREF _Toc16029 </w:instrText>
          </w:r>
          <w:r>
            <w:rPr>
              <w:sz w:val="30"/>
              <w:szCs w:val="30"/>
            </w:rPr>
            <w:fldChar w:fldCharType="separate"/>
          </w:r>
          <w:r>
            <w:rPr>
              <w:sz w:val="30"/>
              <w:szCs w:val="30"/>
            </w:rPr>
            <w:t>25</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_Toc2704 </w:instrText>
          </w:r>
          <w:r>
            <w:rPr>
              <w:rFonts w:ascii="仿宋_GB2312" w:hAnsi="仿宋_GB2312" w:eastAsia="仿宋_GB2312" w:cs="仿宋_GB2312"/>
              <w:sz w:val="30"/>
              <w:szCs w:val="30"/>
            </w:rPr>
            <w:fldChar w:fldCharType="separate"/>
          </w:r>
          <w:r>
            <w:rPr>
              <w:rFonts w:hint="eastAsia"/>
              <w:sz w:val="30"/>
              <w:szCs w:val="30"/>
              <w:lang w:val="en-US" w:eastAsia="zh-CN"/>
            </w:rPr>
            <w:t>8.主要问题和改进措施</w:t>
          </w:r>
          <w:r>
            <w:rPr>
              <w:sz w:val="30"/>
              <w:szCs w:val="30"/>
            </w:rPr>
            <w:tab/>
          </w:r>
          <w:r>
            <w:rPr>
              <w:sz w:val="30"/>
              <w:szCs w:val="30"/>
            </w:rPr>
            <w:fldChar w:fldCharType="begin"/>
          </w:r>
          <w:r>
            <w:rPr>
              <w:sz w:val="30"/>
              <w:szCs w:val="30"/>
            </w:rPr>
            <w:instrText xml:space="preserve"> PAGEREF _Toc2704 </w:instrText>
          </w:r>
          <w:r>
            <w:rPr>
              <w:sz w:val="30"/>
              <w:szCs w:val="30"/>
            </w:rPr>
            <w:fldChar w:fldCharType="separate"/>
          </w:r>
          <w:r>
            <w:rPr>
              <w:sz w:val="30"/>
              <w:szCs w:val="30"/>
            </w:rPr>
            <w:t>27</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_Toc2673 </w:instrText>
          </w:r>
          <w:r>
            <w:rPr>
              <w:rFonts w:ascii="仿宋_GB2312" w:hAnsi="仿宋_GB2312" w:eastAsia="仿宋_GB2312" w:cs="仿宋_GB2312"/>
              <w:sz w:val="30"/>
              <w:szCs w:val="30"/>
            </w:rPr>
            <w:fldChar w:fldCharType="separate"/>
          </w:r>
          <w:r>
            <w:rPr>
              <w:rFonts w:hint="eastAsia" w:ascii="仿宋_GB2312" w:hAnsi="仿宋_GB2312" w:eastAsia="仿宋_GB2312" w:cs="仿宋_GB2312"/>
              <w:kern w:val="2"/>
              <w:sz w:val="30"/>
              <w:szCs w:val="30"/>
              <w:lang w:val="en-US" w:eastAsia="zh-CN" w:bidi="ar-SA"/>
            </w:rPr>
            <w:t>8.1主要问题</w:t>
          </w:r>
          <w:r>
            <w:rPr>
              <w:sz w:val="30"/>
              <w:szCs w:val="30"/>
            </w:rPr>
            <w:tab/>
          </w:r>
          <w:r>
            <w:rPr>
              <w:sz w:val="30"/>
              <w:szCs w:val="30"/>
            </w:rPr>
            <w:fldChar w:fldCharType="begin"/>
          </w:r>
          <w:r>
            <w:rPr>
              <w:sz w:val="30"/>
              <w:szCs w:val="30"/>
            </w:rPr>
            <w:instrText xml:space="preserve"> PAGEREF _Toc2673 </w:instrText>
          </w:r>
          <w:r>
            <w:rPr>
              <w:sz w:val="30"/>
              <w:szCs w:val="30"/>
            </w:rPr>
            <w:fldChar w:fldCharType="separate"/>
          </w:r>
          <w:r>
            <w:rPr>
              <w:sz w:val="30"/>
              <w:szCs w:val="30"/>
            </w:rPr>
            <w:t>27</w:t>
          </w:r>
          <w:r>
            <w:rPr>
              <w:sz w:val="30"/>
              <w:szCs w:val="30"/>
            </w:rPr>
            <w:fldChar w:fldCharType="end"/>
          </w:r>
          <w:r>
            <w:rPr>
              <w:rFonts w:ascii="仿宋_GB2312" w:hAnsi="仿宋_GB2312" w:eastAsia="仿宋_GB2312" w:cs="仿宋_GB2312"/>
              <w:sz w:val="30"/>
              <w:szCs w:val="30"/>
            </w:rPr>
            <w:fldChar w:fldCharType="end"/>
          </w:r>
        </w:p>
        <w:p>
          <w:pPr>
            <w:pStyle w:val="10"/>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_Toc4247 </w:instrText>
          </w:r>
          <w:r>
            <w:rPr>
              <w:rFonts w:ascii="仿宋_GB2312" w:hAnsi="仿宋_GB2312" w:eastAsia="仿宋_GB2312" w:cs="仿宋_GB2312"/>
              <w:sz w:val="30"/>
              <w:szCs w:val="30"/>
            </w:rPr>
            <w:fldChar w:fldCharType="separate"/>
          </w:r>
          <w:r>
            <w:rPr>
              <w:rFonts w:hint="eastAsia" w:ascii="仿宋_GB2312" w:hAnsi="仿宋_GB2312" w:eastAsia="仿宋_GB2312" w:cs="仿宋_GB2312"/>
              <w:kern w:val="2"/>
              <w:sz w:val="30"/>
              <w:szCs w:val="30"/>
              <w:lang w:val="en-US" w:eastAsia="zh-CN" w:bidi="ar-SA"/>
            </w:rPr>
            <w:t>8.2改进措施</w:t>
          </w:r>
          <w:r>
            <w:rPr>
              <w:sz w:val="30"/>
              <w:szCs w:val="30"/>
            </w:rPr>
            <w:tab/>
          </w:r>
          <w:r>
            <w:rPr>
              <w:sz w:val="30"/>
              <w:szCs w:val="30"/>
            </w:rPr>
            <w:fldChar w:fldCharType="begin"/>
          </w:r>
          <w:r>
            <w:rPr>
              <w:sz w:val="30"/>
              <w:szCs w:val="30"/>
            </w:rPr>
            <w:instrText xml:space="preserve"> PAGEREF _Toc4247 </w:instrText>
          </w:r>
          <w:r>
            <w:rPr>
              <w:sz w:val="30"/>
              <w:szCs w:val="30"/>
            </w:rPr>
            <w:fldChar w:fldCharType="separate"/>
          </w:r>
          <w:r>
            <w:rPr>
              <w:sz w:val="30"/>
              <w:szCs w:val="30"/>
            </w:rPr>
            <w:t>28</w:t>
          </w:r>
          <w:r>
            <w:rPr>
              <w:sz w:val="30"/>
              <w:szCs w:val="30"/>
            </w:rPr>
            <w:fldChar w:fldCharType="end"/>
          </w:r>
          <w:r>
            <w:rPr>
              <w:rFonts w:ascii="仿宋_GB2312" w:hAnsi="仿宋_GB2312" w:eastAsia="仿宋_GB2312" w:cs="仿宋_GB2312"/>
              <w:sz w:val="30"/>
              <w:szCs w:val="30"/>
            </w:rPr>
            <w:fldChar w:fldCharType="end"/>
          </w:r>
        </w:p>
        <w:p>
          <w:pPr>
            <w:pStyle w:val="9"/>
            <w:tabs>
              <w:tab w:val="right" w:leader="dot" w:pos="8306"/>
            </w:tabs>
            <w:rPr>
              <w:sz w:val="30"/>
              <w:szCs w:val="30"/>
            </w:rPr>
          </w:pPr>
          <w:r>
            <w:rPr>
              <w:rFonts w:ascii="仿宋_GB2312" w:hAnsi="仿宋_GB2312" w:eastAsia="仿宋_GB2312" w:cs="仿宋_GB2312"/>
              <w:sz w:val="30"/>
              <w:szCs w:val="30"/>
            </w:rPr>
            <w:fldChar w:fldCharType="begin"/>
          </w:r>
          <w:r>
            <w:rPr>
              <w:rFonts w:ascii="仿宋_GB2312" w:hAnsi="仿宋_GB2312" w:eastAsia="仿宋_GB2312" w:cs="仿宋_GB2312"/>
              <w:sz w:val="30"/>
              <w:szCs w:val="30"/>
            </w:rPr>
            <w:instrText xml:space="preserve"> HYPERLINK \l _Toc6646 </w:instrText>
          </w:r>
          <w:r>
            <w:rPr>
              <w:rFonts w:ascii="仿宋_GB2312" w:hAnsi="仿宋_GB2312" w:eastAsia="仿宋_GB2312" w:cs="仿宋_GB2312"/>
              <w:sz w:val="30"/>
              <w:szCs w:val="30"/>
            </w:rPr>
            <w:fldChar w:fldCharType="separate"/>
          </w:r>
          <w:r>
            <w:rPr>
              <w:rFonts w:hint="eastAsia"/>
              <w:sz w:val="30"/>
              <w:szCs w:val="30"/>
              <w:lang w:val="en-US" w:eastAsia="zh-CN"/>
            </w:rPr>
            <w:t>9</w:t>
          </w:r>
          <w:r>
            <w:rPr>
              <w:rFonts w:hint="eastAsia"/>
              <w:sz w:val="30"/>
              <w:szCs w:val="30"/>
            </w:rPr>
            <w:t>.</w:t>
          </w:r>
          <w:r>
            <w:rPr>
              <w:rFonts w:hint="eastAsia"/>
              <w:sz w:val="30"/>
              <w:szCs w:val="30"/>
              <w:lang w:eastAsia="zh-CN"/>
            </w:rPr>
            <w:t>其他</w:t>
          </w:r>
          <w:r>
            <w:rPr>
              <w:sz w:val="30"/>
              <w:szCs w:val="30"/>
            </w:rPr>
            <w:tab/>
          </w:r>
          <w:r>
            <w:rPr>
              <w:sz w:val="30"/>
              <w:szCs w:val="30"/>
            </w:rPr>
            <w:fldChar w:fldCharType="begin"/>
          </w:r>
          <w:r>
            <w:rPr>
              <w:sz w:val="30"/>
              <w:szCs w:val="30"/>
            </w:rPr>
            <w:instrText xml:space="preserve"> PAGEREF _Toc6646 </w:instrText>
          </w:r>
          <w:r>
            <w:rPr>
              <w:sz w:val="30"/>
              <w:szCs w:val="30"/>
            </w:rPr>
            <w:fldChar w:fldCharType="separate"/>
          </w:r>
          <w:r>
            <w:rPr>
              <w:sz w:val="30"/>
              <w:szCs w:val="30"/>
            </w:rPr>
            <w:t>28</w:t>
          </w:r>
          <w:r>
            <w:rPr>
              <w:sz w:val="30"/>
              <w:szCs w:val="30"/>
            </w:rPr>
            <w:fldChar w:fldCharType="end"/>
          </w:r>
          <w:r>
            <w:rPr>
              <w:rFonts w:ascii="仿宋_GB2312" w:hAnsi="仿宋_GB2312" w:eastAsia="仿宋_GB2312" w:cs="仿宋_GB2312"/>
              <w:sz w:val="30"/>
              <w:szCs w:val="30"/>
            </w:rPr>
            <w:fldChar w:fldCharType="end"/>
          </w:r>
        </w:p>
        <w:p>
          <w:pPr>
            <w:rPr>
              <w:rFonts w:ascii="仿宋_GB2312" w:hAnsi="仿宋_GB2312" w:eastAsia="仿宋_GB2312" w:cs="仿宋_GB2312"/>
              <w:sz w:val="32"/>
              <w:szCs w:val="32"/>
            </w:rPr>
            <w:sectPr>
              <w:pgSz w:w="11906" w:h="16838"/>
              <w:pgMar w:top="1440" w:right="1800" w:bottom="1440" w:left="1800" w:header="851" w:footer="992" w:gutter="0"/>
              <w:pgNumType w:start="1"/>
              <w:cols w:space="425" w:num="1"/>
              <w:docGrid w:type="lines" w:linePitch="312" w:charSpace="0"/>
            </w:sectPr>
          </w:pPr>
          <w:r>
            <w:rPr>
              <w:rFonts w:ascii="仿宋_GB2312" w:hAnsi="仿宋_GB2312" w:eastAsia="仿宋_GB2312" w:cs="仿宋_GB2312"/>
              <w:sz w:val="30"/>
              <w:szCs w:val="30"/>
            </w:rPr>
            <w:fldChar w:fldCharType="end"/>
          </w:r>
        </w:p>
      </w:sdtContent>
    </w:sdt>
    <w:p>
      <w:pPr>
        <w:jc w:val="center"/>
        <w:rPr>
          <w:rFonts w:ascii="方正小标宋简体" w:hAnsi="方正小标宋简体" w:eastAsia="方正小标宋简体" w:cs="方正小标宋简体"/>
          <w:b/>
          <w:bCs/>
          <w:sz w:val="48"/>
          <w:szCs w:val="48"/>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bookmarkStart w:id="0" w:name="_Toc14002"/>
      <w:bookmarkStart w:id="1" w:name="_Toc15888_WPSOffice_Level1"/>
      <w:bookmarkStart w:id="2" w:name="_Toc11156"/>
    </w:p>
    <w:p>
      <w:pPr>
        <w:jc w:val="center"/>
        <w:outlineLvl w:val="0"/>
        <w:rPr>
          <w:rFonts w:ascii="方正小标宋简体" w:hAnsi="方正小标宋简体" w:eastAsia="方正小标宋简体" w:cs="方正小标宋简体"/>
          <w:b/>
          <w:bCs/>
          <w:sz w:val="48"/>
          <w:szCs w:val="48"/>
        </w:rPr>
      </w:pPr>
      <w:bookmarkStart w:id="3" w:name="_Toc23982"/>
      <w:bookmarkStart w:id="4" w:name="_Toc24749"/>
      <w:bookmarkStart w:id="5" w:name="_Toc31901"/>
      <w:bookmarkStart w:id="6" w:name="_Toc32407"/>
      <w:r>
        <w:rPr>
          <w:rFonts w:hint="eastAsia" w:ascii="方正小标宋简体" w:hAnsi="方正小标宋简体" w:eastAsia="方正小标宋简体" w:cs="方正小标宋简体"/>
          <w:b/>
          <w:bCs/>
          <w:sz w:val="48"/>
          <w:szCs w:val="48"/>
        </w:rPr>
        <w:t>江西省轻工业高级技工学校</w:t>
      </w:r>
      <w:bookmarkEnd w:id="0"/>
      <w:bookmarkEnd w:id="1"/>
      <w:bookmarkEnd w:id="3"/>
      <w:bookmarkEnd w:id="4"/>
      <w:bookmarkEnd w:id="5"/>
      <w:bookmarkEnd w:id="6"/>
    </w:p>
    <w:p>
      <w:pPr>
        <w:jc w:val="center"/>
        <w:outlineLvl w:val="0"/>
      </w:pPr>
      <w:bookmarkStart w:id="7" w:name="_Toc6821"/>
      <w:bookmarkStart w:id="8" w:name="_Toc6649"/>
      <w:bookmarkStart w:id="9" w:name="_Toc14688"/>
      <w:bookmarkStart w:id="10" w:name="_Toc29243_WPSOffice_Level1"/>
      <w:bookmarkStart w:id="11" w:name="_Toc26722"/>
      <w:bookmarkStart w:id="12" w:name="_Toc13013"/>
      <w:r>
        <w:rPr>
          <w:rFonts w:hint="eastAsia" w:ascii="方正小标宋简体" w:hAnsi="方正小标宋简体" w:eastAsia="方正小标宋简体" w:cs="方正小标宋简体"/>
          <w:b/>
          <w:bCs/>
          <w:sz w:val="48"/>
          <w:szCs w:val="48"/>
        </w:rPr>
        <w:t>20</w:t>
      </w:r>
      <w:r>
        <w:rPr>
          <w:rFonts w:hint="eastAsia" w:ascii="方正小标宋简体" w:hAnsi="方正小标宋简体" w:eastAsia="方正小标宋简体" w:cs="方正小标宋简体"/>
          <w:b/>
          <w:bCs/>
          <w:sz w:val="48"/>
          <w:szCs w:val="48"/>
          <w:lang w:val="en-US" w:eastAsia="zh-CN"/>
        </w:rPr>
        <w:t>20</w:t>
      </w:r>
      <w:r>
        <w:rPr>
          <w:rFonts w:hint="eastAsia" w:ascii="方正小标宋简体" w:hAnsi="方正小标宋简体" w:eastAsia="方正小标宋简体" w:cs="方正小标宋简体"/>
          <w:b/>
          <w:bCs/>
          <w:sz w:val="48"/>
          <w:szCs w:val="48"/>
        </w:rPr>
        <w:t>年中等职业教育质量年度报告</w:t>
      </w:r>
      <w:bookmarkEnd w:id="7"/>
      <w:bookmarkEnd w:id="8"/>
      <w:bookmarkEnd w:id="9"/>
      <w:bookmarkEnd w:id="10"/>
      <w:bookmarkEnd w:id="11"/>
      <w:bookmarkEnd w:id="12"/>
    </w:p>
    <w:p>
      <w:pPr>
        <w:pStyle w:val="3"/>
        <w:spacing w:before="312" w:after="312" w:line="500" w:lineRule="exact"/>
      </w:pPr>
      <w:bookmarkStart w:id="13" w:name="_Toc10403"/>
      <w:r>
        <w:rPr>
          <w:rFonts w:hint="eastAsia"/>
        </w:rPr>
        <w:t>1.学校情况</w:t>
      </w:r>
      <w:bookmarkEnd w:id="2"/>
      <w:bookmarkEnd w:id="13"/>
    </w:p>
    <w:p>
      <w:pPr>
        <w:pStyle w:val="4"/>
        <w:spacing w:before="156" w:after="156" w:line="500" w:lineRule="exact"/>
        <w:ind w:firstLine="723"/>
        <w:jc w:val="both"/>
        <w:rPr>
          <w:rFonts w:hint="default"/>
        </w:rPr>
      </w:pPr>
      <w:bookmarkStart w:id="14" w:name="_Toc3826"/>
      <w:bookmarkStart w:id="15" w:name="_Toc23945"/>
      <w:bookmarkStart w:id="16" w:name="_Toc28501"/>
      <w:bookmarkStart w:id="17" w:name="_Toc5365"/>
      <w:r>
        <w:t>1.1学校概况</w:t>
      </w:r>
      <w:bookmarkEnd w:id="14"/>
      <w:bookmarkEnd w:id="15"/>
      <w:bookmarkEnd w:id="16"/>
      <w:bookmarkEnd w:id="17"/>
    </w:p>
    <w:p>
      <w:pPr>
        <w:spacing w:line="500" w:lineRule="exact"/>
        <w:ind w:firstLine="640" w:firstLineChars="200"/>
        <w:rPr>
          <w:rFonts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江西省轻工业高级技工学校的前身是江西省轻化工业技工学校，创办于1978年，校址设在永修县。1980年迁至宜春市袁州区黄颇路。1984年经省政府批准，分立为江西省轻工业技工学校和江西省化学工业技工学校。江西省轻工业技工学校留在原址办学，属正县级事业单位，2006年晋升为高级技工学校。2014年4月，学校划转省教育厅直管，成为省教育厅直属院校。</w:t>
      </w:r>
    </w:p>
    <w:p>
      <w:pPr>
        <w:spacing w:line="500" w:lineRule="exact"/>
        <w:ind w:firstLine="640" w:firstLineChars="200"/>
        <w:rPr>
          <w:rFonts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2016年10月，学校搬迁至新校园办学。新校园位于宜春市袁州区环城南路199号，占地210亩，一、二期工程已建成并投付使用，建筑面积</w:t>
      </w:r>
      <w:r>
        <w:rPr>
          <w:rFonts w:hint="eastAsia" w:ascii="仿宋_GB2312" w:hAnsi="仿宋_GB2312" w:eastAsia="仿宋_GB2312" w:cs="仿宋_GB2312"/>
          <w:color w:val="auto"/>
          <w:sz w:val="32"/>
          <w:szCs w:val="32"/>
          <w:shd w:val="clear" w:color="auto" w:fill="FDFDFC"/>
        </w:rPr>
        <w:t>56</w:t>
      </w:r>
      <w:r>
        <w:rPr>
          <w:rFonts w:hint="eastAsia" w:ascii="仿宋_GB2312" w:hAnsi="仿宋_GB2312" w:eastAsia="仿宋_GB2312" w:cs="仿宋_GB2312"/>
          <w:color w:val="auto"/>
          <w:sz w:val="32"/>
          <w:szCs w:val="32"/>
          <w:shd w:val="clear" w:color="auto" w:fill="FDFDFC"/>
          <w:lang w:val="en-US" w:eastAsia="zh-CN"/>
        </w:rPr>
        <w:t>441</w:t>
      </w:r>
      <w:r>
        <w:rPr>
          <w:rFonts w:hint="eastAsia" w:ascii="仿宋_GB2312" w:hAnsi="仿宋_GB2312" w:eastAsia="仿宋_GB2312" w:cs="仿宋_GB2312"/>
          <w:sz w:val="32"/>
          <w:szCs w:val="32"/>
          <w:shd w:val="clear" w:color="auto" w:fill="FDFDFC"/>
        </w:rPr>
        <w:t>平方米，可容纳1</w:t>
      </w:r>
      <w:r>
        <w:rPr>
          <w:rFonts w:ascii="仿宋_GB2312" w:hAnsi="仿宋_GB2312" w:eastAsia="仿宋_GB2312" w:cs="仿宋_GB2312"/>
          <w:sz w:val="32"/>
          <w:szCs w:val="32"/>
          <w:shd w:val="clear" w:color="auto" w:fill="FDFDFC"/>
        </w:rPr>
        <w:t>0</w:t>
      </w:r>
      <w:r>
        <w:rPr>
          <w:rFonts w:hint="eastAsia" w:ascii="仿宋_GB2312" w:hAnsi="仿宋_GB2312" w:eastAsia="仿宋_GB2312" w:cs="仿宋_GB2312"/>
          <w:sz w:val="32"/>
          <w:szCs w:val="32"/>
          <w:shd w:val="clear" w:color="auto" w:fill="FDFDFC"/>
        </w:rPr>
        <w:t>0个教学班、5000名学生同时在校学习。搬迁至新校园后，学校</w:t>
      </w:r>
      <w:r>
        <w:rPr>
          <w:rFonts w:hint="eastAsia" w:ascii="仿宋_GB2312" w:hAnsi="仿宋_GB2312" w:eastAsia="仿宋_GB2312" w:cs="仿宋_GB2312"/>
          <w:sz w:val="32"/>
          <w:szCs w:val="32"/>
        </w:rPr>
        <w:t>办学实力进一步增强，办学环境进一步优化，校园面积、建筑面积、实训场所均满足《中等职业学校设置标准》要求，为学校整体事业发展提供长远保障。</w:t>
      </w:r>
    </w:p>
    <w:p>
      <w:pPr>
        <w:spacing w:line="500" w:lineRule="exact"/>
        <w:ind w:firstLine="640" w:firstLineChars="200"/>
        <w:rPr>
          <w:rFonts w:hint="eastAsia" w:ascii="仿宋_GB2312" w:hAnsi="仿宋_GB2312" w:eastAsia="仿宋_GB2312" w:cs="仿宋_GB2312"/>
          <w:sz w:val="32"/>
          <w:szCs w:val="32"/>
          <w:shd w:val="clear" w:color="auto" w:fill="FDFDFC"/>
          <w:lang w:val="en-US" w:eastAsia="zh-CN"/>
        </w:rPr>
      </w:pPr>
      <w:r>
        <w:rPr>
          <w:rFonts w:hint="eastAsia" w:ascii="仿宋_GB2312" w:hAnsi="仿宋_GB2312" w:eastAsia="仿宋_GB2312" w:cs="仿宋_GB2312"/>
          <w:sz w:val="32"/>
          <w:szCs w:val="32"/>
          <w:shd w:val="clear" w:color="auto" w:fill="FDFDFC"/>
        </w:rPr>
        <w:t>学校是集中职教育、高技能人才培养培训、职业技能鉴定、成人教育为一体的国家级重点技工学校，先后被评为江西省职业教育先进单位、全省综治工作先进单位，并多次被评为宜春市文明单位、全省技工院校工作先进单位，2010年6月学校荣获“全国中等职业学校德育工作先进集体”称号，2013年至今为第十三届、第十四届、第十五届“江西省文明单位”，2017年11月被中国职协轻工分会评为“职业教育先进单位”，2018年被评为省直教育系统公共机构节能优秀单位</w:t>
      </w:r>
      <w:r>
        <w:rPr>
          <w:rFonts w:hint="eastAsia" w:ascii="仿宋_GB2312" w:hAnsi="仿宋_GB2312" w:eastAsia="仿宋_GB2312" w:cs="仿宋_GB2312"/>
          <w:sz w:val="32"/>
          <w:szCs w:val="32"/>
          <w:shd w:val="clear" w:color="auto" w:fill="FDFDFC"/>
          <w:lang w:eastAsia="zh-CN"/>
        </w:rPr>
        <w:t>，</w:t>
      </w:r>
      <w:r>
        <w:rPr>
          <w:rFonts w:hint="eastAsia" w:ascii="仿宋_GB2312" w:hAnsi="仿宋_GB2312" w:eastAsia="仿宋_GB2312" w:cs="仿宋_GB2312"/>
          <w:sz w:val="32"/>
          <w:szCs w:val="32"/>
          <w:shd w:val="clear" w:color="auto" w:fill="FDFDFC"/>
          <w:lang w:val="en-US" w:eastAsia="zh-CN"/>
        </w:rPr>
        <w:t>2019年</w:t>
      </w:r>
      <w:r>
        <w:rPr>
          <w:rFonts w:hint="eastAsia" w:ascii="仿宋_GB2312" w:hAnsi="仿宋_GB2312" w:eastAsia="仿宋_GB2312" w:cs="仿宋_GB2312"/>
          <w:sz w:val="32"/>
          <w:szCs w:val="32"/>
          <w:shd w:val="clear" w:color="auto" w:fill="FDFDFC"/>
        </w:rPr>
        <w:t>被评为省直教育系统公共机构节能优秀单位</w:t>
      </w:r>
      <w:r>
        <w:rPr>
          <w:rFonts w:hint="eastAsia" w:ascii="仿宋_GB2312" w:hAnsi="仿宋_GB2312" w:eastAsia="仿宋_GB2312" w:cs="仿宋_GB2312"/>
          <w:sz w:val="32"/>
          <w:szCs w:val="32"/>
          <w:shd w:val="clear" w:color="auto" w:fill="FDFDFC"/>
          <w:lang w:eastAsia="zh-CN"/>
        </w:rPr>
        <w:t>，被评为宜春市平安建设（综治工作）先进单位。</w:t>
      </w:r>
    </w:p>
    <w:tbl>
      <w:tblPr>
        <w:tblStyle w:val="13"/>
        <w:tblW w:w="8716" w:type="dxa"/>
        <w:jc w:val="center"/>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786"/>
        <w:gridCol w:w="6930"/>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601" w:hRule="atLeast"/>
          <w:jc w:val="center"/>
        </w:trPr>
        <w:tc>
          <w:tcPr>
            <w:tcW w:w="178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hemeFill="accent1" w:themeFillTint="99"/>
            <w:vAlign w:val="center"/>
          </w:tcPr>
          <w:p>
            <w:pPr>
              <w:spacing w:line="500" w:lineRule="exact"/>
              <w:jc w:val="center"/>
              <w:rPr>
                <w:rFonts w:asciiTheme="minorEastAsia" w:hAnsiTheme="minorEastAsia" w:cstheme="minorEastAsia"/>
                <w:b/>
                <w:bCs/>
                <w:sz w:val="24"/>
                <w:shd w:val="clear" w:color="auto" w:fill="FDFDFC"/>
              </w:rPr>
            </w:pPr>
            <w:r>
              <w:rPr>
                <w:rFonts w:hint="eastAsia" w:asciiTheme="minorEastAsia" w:hAnsiTheme="minorEastAsia" w:cstheme="minorEastAsia"/>
                <w:b/>
                <w:bCs/>
                <w:sz w:val="24"/>
                <w:shd w:val="clear" w:color="auto" w:fill="9CC2E5" w:themeFill="accent1" w:themeFillTint="99"/>
              </w:rPr>
              <w:t>校名</w:t>
            </w:r>
          </w:p>
        </w:tc>
        <w:tc>
          <w:tcPr>
            <w:tcW w:w="69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hemeFill="accent1" w:themeFillTint="99"/>
            <w:vAlign w:val="center"/>
          </w:tcPr>
          <w:p>
            <w:pPr>
              <w:spacing w:line="500" w:lineRule="exact"/>
              <w:jc w:val="center"/>
              <w:rPr>
                <w:rFonts w:asciiTheme="minorEastAsia" w:hAnsiTheme="minorEastAsia" w:cstheme="minorEastAsia"/>
                <w:b/>
                <w:bCs/>
                <w:sz w:val="24"/>
                <w:shd w:val="clear" w:color="auto" w:fill="FDFDFC"/>
              </w:rPr>
            </w:pPr>
            <w:r>
              <w:rPr>
                <w:rFonts w:hint="eastAsia" w:asciiTheme="minorEastAsia" w:hAnsiTheme="minorEastAsia" w:cstheme="minorEastAsia"/>
                <w:b w:val="0"/>
                <w:bCs w:val="0"/>
                <w:color w:val="auto"/>
                <w:sz w:val="24"/>
                <w:shd w:val="clear" w:color="auto" w:fill="9CC2E5" w:themeFill="accent1" w:themeFillTint="99"/>
              </w:rPr>
              <w:t>江西省轻工业高级技工学校</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65" w:hRule="atLeast"/>
          <w:jc w:val="center"/>
        </w:trPr>
        <w:tc>
          <w:tcPr>
            <w:tcW w:w="178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vAlign w:val="center"/>
          </w:tcPr>
          <w:p>
            <w:pPr>
              <w:spacing w:line="500" w:lineRule="exact"/>
              <w:jc w:val="center"/>
              <w:rPr>
                <w:rFonts w:asciiTheme="minorEastAsia" w:hAnsiTheme="minorEastAsia" w:cstheme="minorEastAsia"/>
                <w:b/>
                <w:bCs/>
                <w:sz w:val="24"/>
                <w:shd w:val="clear" w:color="auto" w:fill="FDFDFC"/>
              </w:rPr>
            </w:pPr>
            <w:r>
              <w:rPr>
                <w:rFonts w:hint="eastAsia" w:asciiTheme="minorEastAsia" w:hAnsiTheme="minorEastAsia" w:cstheme="minorEastAsia"/>
                <w:b/>
                <w:bCs/>
                <w:sz w:val="24"/>
                <w:shd w:val="clear" w:color="auto" w:fill="F1F1F1" w:themeFill="background1" w:themeFillShade="F2"/>
              </w:rPr>
              <w:t>办学性质</w:t>
            </w:r>
          </w:p>
        </w:tc>
        <w:tc>
          <w:tcPr>
            <w:tcW w:w="69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vAlign w:val="center"/>
          </w:tcPr>
          <w:p>
            <w:pPr>
              <w:spacing w:line="500" w:lineRule="exact"/>
              <w:jc w:val="center"/>
              <w:rPr>
                <w:rFonts w:asciiTheme="minorEastAsia" w:hAnsiTheme="minorEastAsia" w:cstheme="minorEastAsia"/>
                <w:sz w:val="24"/>
                <w:shd w:val="clear" w:color="auto" w:fill="FDFDFC"/>
              </w:rPr>
            </w:pPr>
            <w:r>
              <w:rPr>
                <w:rFonts w:hint="eastAsia" w:asciiTheme="minorEastAsia" w:hAnsiTheme="minorEastAsia" w:cstheme="minorEastAsia"/>
                <w:sz w:val="24"/>
                <w:shd w:val="clear" w:color="auto" w:fill="F1F1F1" w:themeFill="background1" w:themeFillShade="F2"/>
              </w:rPr>
              <w:t>江西省教育厅直属公办职业学校</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85" w:hRule="atLeast"/>
          <w:jc w:val="center"/>
        </w:trPr>
        <w:tc>
          <w:tcPr>
            <w:tcW w:w="178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hemeFill="accent1" w:themeFillTint="99"/>
            <w:vAlign w:val="center"/>
          </w:tcPr>
          <w:p>
            <w:pPr>
              <w:spacing w:line="500" w:lineRule="exact"/>
              <w:jc w:val="center"/>
              <w:rPr>
                <w:rFonts w:asciiTheme="minorEastAsia" w:hAnsiTheme="minorEastAsia" w:cstheme="minorEastAsia"/>
                <w:b/>
                <w:bCs/>
                <w:sz w:val="24"/>
                <w:shd w:val="clear" w:color="auto" w:fill="FDFDFC"/>
              </w:rPr>
            </w:pPr>
            <w:r>
              <w:rPr>
                <w:rFonts w:hint="eastAsia" w:asciiTheme="minorEastAsia" w:hAnsiTheme="minorEastAsia" w:cstheme="minorEastAsia"/>
                <w:b/>
                <w:bCs/>
                <w:sz w:val="24"/>
                <w:shd w:val="clear" w:color="auto" w:fill="9CC2E5" w:themeFill="accent1" w:themeFillTint="99"/>
              </w:rPr>
              <w:t>占地面积</w:t>
            </w:r>
          </w:p>
        </w:tc>
        <w:tc>
          <w:tcPr>
            <w:tcW w:w="69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hemeFill="accent1" w:themeFillTint="99"/>
            <w:vAlign w:val="center"/>
          </w:tcPr>
          <w:p>
            <w:pPr>
              <w:spacing w:line="500" w:lineRule="exact"/>
              <w:jc w:val="center"/>
              <w:rPr>
                <w:rFonts w:asciiTheme="minorEastAsia" w:hAnsiTheme="minorEastAsia" w:cstheme="minorEastAsia"/>
                <w:sz w:val="24"/>
                <w:shd w:val="clear" w:color="auto" w:fill="FDFDFC"/>
              </w:rPr>
            </w:pPr>
            <w:r>
              <w:rPr>
                <w:rFonts w:hint="eastAsia" w:asciiTheme="minorEastAsia" w:hAnsiTheme="minorEastAsia" w:cstheme="minorEastAsia"/>
                <w:sz w:val="24"/>
                <w:shd w:val="clear" w:color="auto" w:fill="9CC2E5" w:themeFill="accent1" w:themeFillTint="99"/>
              </w:rPr>
              <w:t>210亩</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574" w:hRule="atLeast"/>
          <w:jc w:val="center"/>
        </w:trPr>
        <w:tc>
          <w:tcPr>
            <w:tcW w:w="178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vAlign w:val="center"/>
          </w:tcPr>
          <w:p>
            <w:pPr>
              <w:spacing w:line="500" w:lineRule="exact"/>
              <w:jc w:val="center"/>
              <w:rPr>
                <w:rFonts w:asciiTheme="minorEastAsia" w:hAnsiTheme="minorEastAsia" w:cstheme="minorEastAsia"/>
                <w:b/>
                <w:bCs/>
                <w:sz w:val="24"/>
                <w:shd w:val="clear" w:color="auto" w:fill="FDFDFC"/>
              </w:rPr>
            </w:pPr>
            <w:r>
              <w:rPr>
                <w:rFonts w:hint="eastAsia" w:asciiTheme="minorEastAsia" w:hAnsiTheme="minorEastAsia" w:cstheme="minorEastAsia"/>
                <w:b/>
                <w:bCs/>
                <w:sz w:val="24"/>
                <w:shd w:val="clear" w:color="auto" w:fill="F1F1F1" w:themeFill="background1" w:themeFillShade="F2"/>
              </w:rPr>
              <w:t>建筑面积</w:t>
            </w:r>
          </w:p>
        </w:tc>
        <w:tc>
          <w:tcPr>
            <w:tcW w:w="69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hemeFill="background1" w:themeFillShade="F2"/>
            <w:vAlign w:val="center"/>
          </w:tcPr>
          <w:p>
            <w:pPr>
              <w:spacing w:line="500" w:lineRule="exact"/>
              <w:jc w:val="center"/>
              <w:rPr>
                <w:rFonts w:asciiTheme="minorEastAsia" w:hAnsiTheme="minorEastAsia" w:cstheme="minorEastAsia"/>
                <w:sz w:val="24"/>
                <w:shd w:val="clear" w:color="auto" w:fill="FDFDFC"/>
              </w:rPr>
            </w:pPr>
            <w:r>
              <w:rPr>
                <w:rFonts w:hint="eastAsia" w:asciiTheme="minorEastAsia" w:hAnsiTheme="minorEastAsia" w:cstheme="minorEastAsia"/>
                <w:color w:val="auto"/>
                <w:sz w:val="24"/>
                <w:shd w:val="clear" w:color="auto" w:fill="F1F1F1" w:themeFill="background1" w:themeFillShade="F2"/>
              </w:rPr>
              <w:t>56</w:t>
            </w:r>
            <w:r>
              <w:rPr>
                <w:rFonts w:hint="eastAsia" w:asciiTheme="minorEastAsia" w:hAnsiTheme="minorEastAsia" w:cstheme="minorEastAsia"/>
                <w:color w:val="auto"/>
                <w:sz w:val="24"/>
                <w:shd w:val="clear" w:color="auto" w:fill="F1F1F1" w:themeFill="background1" w:themeFillShade="F2"/>
                <w:lang w:val="en-US" w:eastAsia="zh-CN"/>
              </w:rPr>
              <w:t>441</w:t>
            </w:r>
            <w:r>
              <w:rPr>
                <w:rFonts w:hint="eastAsia" w:asciiTheme="minorEastAsia" w:hAnsiTheme="minorEastAsia" w:cstheme="minorEastAsia"/>
                <w:sz w:val="24"/>
                <w:shd w:val="clear" w:color="auto" w:fill="F1F1F1" w:themeFill="background1" w:themeFillShade="F2"/>
              </w:rPr>
              <w:t>平方米</w:t>
            </w:r>
          </w:p>
        </w:tc>
      </w:tr>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rPr>
          <w:trHeight w:val="1060" w:hRule="atLeast"/>
          <w:jc w:val="center"/>
        </w:trPr>
        <w:tc>
          <w:tcPr>
            <w:tcW w:w="1786"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hemeFill="accent1" w:themeFillTint="99"/>
            <w:vAlign w:val="center"/>
          </w:tcPr>
          <w:p>
            <w:pPr>
              <w:spacing w:line="500" w:lineRule="exact"/>
              <w:jc w:val="center"/>
              <w:rPr>
                <w:rFonts w:asciiTheme="minorEastAsia" w:hAnsiTheme="minorEastAsia" w:cstheme="minorEastAsia"/>
                <w:b/>
                <w:bCs/>
                <w:sz w:val="24"/>
                <w:shd w:val="clear" w:color="auto" w:fill="FDFDFC"/>
              </w:rPr>
            </w:pPr>
            <w:r>
              <w:rPr>
                <w:rFonts w:hint="eastAsia" w:asciiTheme="minorEastAsia" w:hAnsiTheme="minorEastAsia" w:cstheme="minorEastAsia"/>
                <w:b/>
                <w:bCs/>
                <w:sz w:val="24"/>
                <w:shd w:val="clear" w:color="auto" w:fill="9CC2E5" w:themeFill="accent1" w:themeFillTint="99"/>
              </w:rPr>
              <w:t>资产</w:t>
            </w:r>
          </w:p>
        </w:tc>
        <w:tc>
          <w:tcPr>
            <w:tcW w:w="69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hemeFill="accent1" w:themeFillTint="99"/>
            <w:vAlign w:val="center"/>
          </w:tcPr>
          <w:p>
            <w:pPr>
              <w:spacing w:line="460" w:lineRule="exact"/>
              <w:ind w:firstLine="480" w:firstLineChars="200"/>
              <w:rPr>
                <w:rFonts w:asciiTheme="minorEastAsia" w:hAnsiTheme="minorEastAsia" w:cstheme="minorEastAsia"/>
                <w:sz w:val="24"/>
                <w:shd w:val="clear" w:color="auto" w:fill="FDFDFC"/>
              </w:rPr>
            </w:pPr>
            <w:r>
              <w:rPr>
                <w:rFonts w:hint="eastAsia" w:asciiTheme="minorEastAsia" w:hAnsiTheme="minorEastAsia" w:cstheme="minorEastAsia"/>
                <w:color w:val="auto"/>
                <w:sz w:val="24"/>
                <w:shd w:val="clear" w:color="auto" w:fill="9CC2E5" w:themeFill="accent1" w:themeFillTint="99"/>
              </w:rPr>
              <w:t>20</w:t>
            </w:r>
            <w:r>
              <w:rPr>
                <w:rFonts w:hint="eastAsia" w:asciiTheme="minorEastAsia" w:hAnsiTheme="minorEastAsia" w:cstheme="minorEastAsia"/>
                <w:color w:val="auto"/>
                <w:sz w:val="24"/>
                <w:shd w:val="clear" w:color="auto" w:fill="9CC2E5" w:themeFill="accent1" w:themeFillTint="99"/>
                <w:lang w:val="en-US" w:eastAsia="zh-CN"/>
              </w:rPr>
              <w:t>20</w:t>
            </w:r>
            <w:r>
              <w:rPr>
                <w:rFonts w:hint="eastAsia" w:asciiTheme="minorEastAsia" w:hAnsiTheme="minorEastAsia" w:cstheme="minorEastAsia"/>
                <w:color w:val="auto"/>
                <w:sz w:val="24"/>
                <w:shd w:val="clear" w:color="auto" w:fill="9CC2E5" w:themeFill="accent1" w:themeFillTint="99"/>
              </w:rPr>
              <w:t>年初学校</w:t>
            </w:r>
            <w:r>
              <w:rPr>
                <w:rFonts w:hint="eastAsia" w:asciiTheme="minorEastAsia" w:hAnsiTheme="minorEastAsia" w:cstheme="minorEastAsia"/>
                <w:color w:val="auto"/>
                <w:sz w:val="24"/>
                <w:shd w:val="clear" w:color="auto" w:fill="9CC2E5" w:themeFill="accent1" w:themeFillTint="99"/>
                <w:lang w:eastAsia="zh-CN"/>
              </w:rPr>
              <w:t>净</w:t>
            </w:r>
            <w:r>
              <w:rPr>
                <w:rFonts w:hint="eastAsia" w:asciiTheme="minorEastAsia" w:hAnsiTheme="minorEastAsia" w:cstheme="minorEastAsia"/>
                <w:color w:val="auto"/>
                <w:sz w:val="24"/>
                <w:shd w:val="clear" w:color="auto" w:fill="9CC2E5" w:themeFill="accent1" w:themeFillTint="99"/>
              </w:rPr>
              <w:t>资产</w:t>
            </w:r>
            <w:r>
              <w:rPr>
                <w:rFonts w:hint="eastAsia" w:asciiTheme="minorEastAsia" w:hAnsiTheme="minorEastAsia" w:cstheme="minorEastAsia"/>
                <w:color w:val="auto"/>
                <w:sz w:val="24"/>
                <w:shd w:val="clear" w:color="auto" w:fill="9CC2E5" w:themeFill="accent1" w:themeFillTint="99"/>
                <w:lang w:eastAsia="zh-CN"/>
              </w:rPr>
              <w:t>合计</w:t>
            </w:r>
            <w:r>
              <w:rPr>
                <w:rFonts w:hint="eastAsia" w:asciiTheme="minorEastAsia" w:hAnsiTheme="minorEastAsia" w:cstheme="minorEastAsia"/>
                <w:color w:val="auto"/>
                <w:sz w:val="24"/>
                <w:shd w:val="clear" w:color="auto" w:fill="9CC2E5" w:themeFill="accent1" w:themeFillTint="99"/>
                <w:lang w:val="en-US" w:eastAsia="zh-CN"/>
              </w:rPr>
              <w:t>49,458,510.28元，2020年12月学校净资产合计54,217,131.42元</w:t>
            </w:r>
            <w:r>
              <w:rPr>
                <w:rFonts w:hint="eastAsia" w:asciiTheme="minorEastAsia" w:hAnsiTheme="minorEastAsia" w:cstheme="minorEastAsia"/>
                <w:color w:val="auto"/>
                <w:sz w:val="24"/>
                <w:shd w:val="clear" w:color="auto" w:fill="9CC2E5" w:themeFill="accent1" w:themeFillTint="99"/>
              </w:rPr>
              <w:t>。</w:t>
            </w:r>
          </w:p>
        </w:tc>
      </w:tr>
    </w:tbl>
    <w:p>
      <w:pPr>
        <w:pStyle w:val="4"/>
        <w:spacing w:before="156" w:after="156" w:line="500" w:lineRule="exact"/>
        <w:ind w:firstLine="723"/>
        <w:jc w:val="both"/>
        <w:rPr>
          <w:rFonts w:hint="default"/>
        </w:rPr>
      </w:pPr>
      <w:bookmarkStart w:id="18" w:name="_Toc22675"/>
      <w:bookmarkStart w:id="19" w:name="_Toc9114"/>
      <w:bookmarkStart w:id="20" w:name="_Toc20941"/>
      <w:bookmarkStart w:id="21" w:name="_Toc7725"/>
      <w:r>
        <w:t>1.2学生情况</w:t>
      </w:r>
      <w:bookmarkEnd w:id="18"/>
      <w:bookmarkEnd w:id="19"/>
      <w:bookmarkEnd w:id="20"/>
      <w:bookmarkEnd w:id="21"/>
    </w:p>
    <w:p>
      <w:pPr>
        <w:spacing w:line="50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1.2.1学生规模</w:t>
      </w:r>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学校现有中职全日制在校生3</w:t>
      </w:r>
      <w:r>
        <w:rPr>
          <w:rFonts w:hint="eastAsia" w:ascii="仿宋_GB2312" w:hAnsi="仿宋_GB2312" w:eastAsia="仿宋_GB2312" w:cs="仿宋_GB2312"/>
          <w:sz w:val="32"/>
          <w:szCs w:val="32"/>
          <w:shd w:val="clear" w:color="auto" w:fill="FDFDFC"/>
          <w:lang w:val="en-US" w:eastAsia="zh-CN"/>
        </w:rPr>
        <w:t>983</w:t>
      </w:r>
      <w:r>
        <w:rPr>
          <w:rFonts w:hint="eastAsia" w:ascii="仿宋_GB2312" w:hAnsi="仿宋_GB2312" w:eastAsia="仿宋_GB2312" w:cs="仿宋_GB2312"/>
          <w:sz w:val="32"/>
          <w:szCs w:val="32"/>
          <w:shd w:val="clear" w:color="auto" w:fill="FDFDFC"/>
        </w:rPr>
        <w:t>人，20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年招生1</w:t>
      </w:r>
      <w:r>
        <w:rPr>
          <w:rFonts w:hint="eastAsia" w:ascii="仿宋_GB2312" w:hAnsi="仿宋_GB2312" w:eastAsia="仿宋_GB2312" w:cs="仿宋_GB2312"/>
          <w:sz w:val="32"/>
          <w:szCs w:val="32"/>
          <w:shd w:val="clear" w:color="auto" w:fill="FDFDFC"/>
          <w:lang w:val="en-US" w:eastAsia="zh-CN"/>
        </w:rPr>
        <w:t>375</w:t>
      </w:r>
      <w:r>
        <w:rPr>
          <w:rFonts w:hint="eastAsia" w:ascii="仿宋_GB2312" w:hAnsi="仿宋_GB2312" w:eastAsia="仿宋_GB2312" w:cs="仿宋_GB2312"/>
          <w:sz w:val="32"/>
          <w:szCs w:val="32"/>
          <w:shd w:val="clear" w:color="auto" w:fill="FDFDFC"/>
        </w:rPr>
        <w:t>人，20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年毕业生9</w:t>
      </w:r>
      <w:r>
        <w:rPr>
          <w:rFonts w:hint="eastAsia" w:ascii="仿宋_GB2312" w:hAnsi="仿宋_GB2312" w:eastAsia="仿宋_GB2312" w:cs="仿宋_GB2312"/>
          <w:sz w:val="32"/>
          <w:szCs w:val="32"/>
          <w:shd w:val="clear" w:color="auto" w:fill="FDFDFC"/>
          <w:lang w:val="en-US" w:eastAsia="zh-CN"/>
        </w:rPr>
        <w:t>8</w:t>
      </w:r>
      <w:r>
        <w:rPr>
          <w:rFonts w:hint="eastAsia" w:ascii="仿宋_GB2312" w:hAnsi="仿宋_GB2312" w:eastAsia="仿宋_GB2312" w:cs="仿宋_GB2312"/>
          <w:sz w:val="32"/>
          <w:szCs w:val="32"/>
          <w:shd w:val="clear" w:color="auto" w:fill="FDFDFC"/>
        </w:rPr>
        <w:t>5人。我校近两年招生人数、在校生人数和毕业生人数如下表所示：</w:t>
      </w:r>
    </w:p>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表1：学生规模表</w:t>
      </w:r>
    </w:p>
    <w:tbl>
      <w:tblPr>
        <w:tblStyle w:val="13"/>
        <w:tblW w:w="8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8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年份</w:t>
            </w:r>
          </w:p>
        </w:tc>
        <w:tc>
          <w:tcPr>
            <w:tcW w:w="21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招生人数(人)</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在校生人数(人)</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毕业生人数(人)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hint="default" w:asciiTheme="minorEastAsia" w:hAnsiTheme="minorEastAsia" w:eastAsiaTheme="minorEastAsia" w:cstheme="minorEastAsia"/>
                <w:b/>
                <w:bCs/>
                <w:sz w:val="24"/>
                <w:lang w:val="en-US" w:eastAsia="zh-CN"/>
              </w:rPr>
            </w:pPr>
            <w:r>
              <w:rPr>
                <w:rFonts w:hint="eastAsia" w:asciiTheme="minorEastAsia" w:hAnsiTheme="minorEastAsia" w:cstheme="minorEastAsia"/>
                <w:b/>
                <w:bCs/>
                <w:sz w:val="24"/>
                <w:lang w:val="en-US" w:eastAsia="zh-CN"/>
              </w:rPr>
              <w:t>2020</w:t>
            </w:r>
          </w:p>
        </w:tc>
        <w:tc>
          <w:tcPr>
            <w:tcW w:w="21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hint="default" w:ascii="宋体" w:hAnsi="宋体" w:cs="宋体" w:eastAsiaTheme="minorEastAsia"/>
                <w:sz w:val="24"/>
                <w:lang w:val="en-US" w:eastAsia="zh-CN"/>
              </w:rPr>
            </w:pPr>
            <w:r>
              <w:rPr>
                <w:rFonts w:hint="eastAsia" w:ascii="宋体" w:hAnsi="宋体" w:cs="宋体"/>
                <w:sz w:val="24"/>
                <w:lang w:val="en-US" w:eastAsia="zh-CN"/>
              </w:rPr>
              <w:t>1375</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hint="default" w:ascii="宋体" w:hAnsi="宋体" w:cs="宋体" w:eastAsiaTheme="minorEastAsia"/>
                <w:sz w:val="24"/>
                <w:lang w:val="en-US" w:eastAsia="zh-CN"/>
              </w:rPr>
            </w:pPr>
            <w:r>
              <w:rPr>
                <w:rFonts w:hint="eastAsia" w:ascii="宋体" w:hAnsi="宋体" w:cs="宋体"/>
                <w:sz w:val="24"/>
                <w:lang w:val="en-US" w:eastAsia="zh-CN"/>
              </w:rPr>
              <w:t>3983</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hint="default" w:ascii="宋体" w:hAnsi="宋体" w:cs="宋体" w:eastAsiaTheme="minorEastAsia"/>
                <w:sz w:val="24"/>
                <w:lang w:val="en-US" w:eastAsia="zh-CN"/>
              </w:rPr>
            </w:pPr>
            <w:r>
              <w:rPr>
                <w:rFonts w:hint="eastAsia" w:ascii="宋体" w:hAnsi="宋体" w:cs="宋体"/>
                <w:sz w:val="24"/>
                <w:lang w:val="en-US"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2019</w:t>
            </w:r>
          </w:p>
        </w:tc>
        <w:tc>
          <w:tcPr>
            <w:tcW w:w="21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asciiTheme="minorEastAsia" w:hAnsiTheme="minorEastAsia" w:cstheme="minorEastAsia"/>
                <w:sz w:val="24"/>
              </w:rPr>
            </w:pPr>
            <w:r>
              <w:rPr>
                <w:rFonts w:hint="eastAsia" w:ascii="宋体" w:hAnsi="宋体" w:cs="宋体"/>
                <w:sz w:val="24"/>
              </w:rPr>
              <w:t>1606</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asciiTheme="minorEastAsia" w:hAnsiTheme="minorEastAsia" w:cstheme="minorEastAsia"/>
                <w:sz w:val="24"/>
              </w:rPr>
            </w:pPr>
            <w:r>
              <w:rPr>
                <w:rFonts w:hint="eastAsia" w:ascii="宋体" w:hAnsi="宋体" w:cs="宋体"/>
                <w:sz w:val="24"/>
              </w:rPr>
              <w:t>3794</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500" w:lineRule="exact"/>
              <w:jc w:val="center"/>
              <w:rPr>
                <w:rFonts w:asciiTheme="minorEastAsia" w:hAnsiTheme="minorEastAsia" w:cstheme="minorEastAsia"/>
                <w:sz w:val="24"/>
              </w:rPr>
            </w:pPr>
            <w:r>
              <w:rPr>
                <w:rFonts w:hint="eastAsia" w:ascii="宋体" w:hAnsi="宋体" w:cs="宋体"/>
                <w:sz w:val="24"/>
              </w:rPr>
              <w:t>9</w:t>
            </w:r>
            <w:r>
              <w:rPr>
                <w:rFonts w:ascii="宋体" w:hAnsi="宋体" w:cs="宋体"/>
                <w:sz w:val="24"/>
              </w:rPr>
              <w:t>45</w:t>
            </w:r>
          </w:p>
        </w:tc>
      </w:tr>
    </w:tbl>
    <w:p>
      <w:pPr>
        <w:spacing w:line="50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1.2.2学生结构</w:t>
      </w:r>
    </w:p>
    <w:p>
      <w:pPr>
        <w:spacing w:line="500" w:lineRule="exact"/>
        <w:ind w:firstLine="643"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b/>
          <w:bCs/>
          <w:sz w:val="32"/>
          <w:szCs w:val="32"/>
        </w:rPr>
        <w:t>一是专业结构。</w:t>
      </w:r>
      <w:r>
        <w:rPr>
          <w:rFonts w:hint="eastAsia" w:ascii="仿宋_GB2312" w:hAnsi="仿宋_GB2312" w:eastAsia="仿宋_GB2312" w:cs="仿宋_GB2312"/>
          <w:sz w:val="32"/>
          <w:szCs w:val="32"/>
          <w:shd w:val="clear" w:color="auto" w:fill="FDFDFC"/>
        </w:rPr>
        <w:t>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—20</w:t>
      </w:r>
      <w:r>
        <w:rPr>
          <w:rFonts w:hint="eastAsia" w:ascii="仿宋_GB2312" w:hAnsi="仿宋_GB2312" w:eastAsia="仿宋_GB2312" w:cs="仿宋_GB2312"/>
          <w:sz w:val="32"/>
          <w:szCs w:val="32"/>
          <w:shd w:val="clear" w:color="auto" w:fill="FDFDFC"/>
          <w:lang w:val="en-US" w:eastAsia="zh-CN"/>
        </w:rPr>
        <w:t>21</w:t>
      </w:r>
      <w:r>
        <w:rPr>
          <w:rFonts w:hint="eastAsia" w:ascii="仿宋_GB2312" w:hAnsi="仿宋_GB2312" w:eastAsia="仿宋_GB2312" w:cs="仿宋_GB2312"/>
          <w:sz w:val="32"/>
          <w:szCs w:val="32"/>
          <w:shd w:val="clear" w:color="auto" w:fill="FDFDFC"/>
        </w:rPr>
        <w:t>学年我校共有</w:t>
      </w:r>
      <w:r>
        <w:rPr>
          <w:rFonts w:hint="eastAsia" w:ascii="仿宋_GB2312" w:hAnsi="仿宋_GB2312" w:eastAsia="仿宋_GB2312" w:cs="仿宋_GB2312"/>
          <w:sz w:val="32"/>
          <w:szCs w:val="32"/>
          <w:shd w:val="clear" w:color="auto" w:fill="FDFDFC"/>
          <w:lang w:val="en-US" w:eastAsia="zh-CN"/>
        </w:rPr>
        <w:t>16</w:t>
      </w:r>
      <w:r>
        <w:rPr>
          <w:rFonts w:hint="eastAsia" w:ascii="仿宋_GB2312" w:hAnsi="仿宋_GB2312" w:eastAsia="仿宋_GB2312" w:cs="仿宋_GB2312"/>
          <w:sz w:val="32"/>
          <w:szCs w:val="32"/>
          <w:shd w:val="clear" w:color="auto" w:fill="FDFDFC"/>
        </w:rPr>
        <w:t>个专业，</w:t>
      </w:r>
      <w:r>
        <w:rPr>
          <w:rFonts w:hint="eastAsia" w:ascii="仿宋_GB2312" w:hAnsi="仿宋_GB2312" w:eastAsia="仿宋_GB2312" w:cs="仿宋_GB2312"/>
          <w:sz w:val="32"/>
          <w:szCs w:val="32"/>
          <w:shd w:val="clear" w:color="auto" w:fill="FDFDFC"/>
          <w:lang w:eastAsia="zh-CN"/>
        </w:rPr>
        <w:t>其中</w:t>
      </w:r>
      <w:r>
        <w:rPr>
          <w:rFonts w:hint="eastAsia" w:ascii="仿宋_GB2312" w:hAnsi="仿宋_GB2312" w:eastAsia="仿宋_GB2312" w:cs="仿宋_GB2312"/>
          <w:sz w:val="32"/>
          <w:szCs w:val="32"/>
          <w:shd w:val="clear" w:color="auto" w:fill="FDFDFC"/>
          <w:lang w:val="en-US" w:eastAsia="zh-CN"/>
        </w:rPr>
        <w:t>19高级模具制造专业为五年制，20高级平面设计专业、20高级室内设计专业，20高级模具制造专业、20高级汽修专业、20高级电子商务专业、20高级数控加工专业为四年制，其他</w:t>
      </w:r>
      <w:r>
        <w:rPr>
          <w:rFonts w:hint="eastAsia" w:ascii="仿宋_GB2312" w:hAnsi="仿宋_GB2312" w:eastAsia="仿宋_GB2312" w:cs="仿宋_GB2312"/>
          <w:sz w:val="32"/>
          <w:szCs w:val="32"/>
          <w:shd w:val="clear" w:color="auto" w:fill="FDFDFC"/>
          <w:lang w:eastAsia="zh-CN"/>
        </w:rPr>
        <w:t>专业学制</w:t>
      </w:r>
      <w:r>
        <w:rPr>
          <w:rFonts w:hint="eastAsia" w:ascii="仿宋_GB2312" w:hAnsi="仿宋_GB2312" w:eastAsia="仿宋_GB2312" w:cs="仿宋_GB2312"/>
          <w:sz w:val="32"/>
          <w:szCs w:val="32"/>
          <w:shd w:val="clear" w:color="auto" w:fill="FDFDFC"/>
        </w:rPr>
        <w:t>均为三年，各专业人数为</w:t>
      </w:r>
      <w:r>
        <w:rPr>
          <w:rFonts w:hint="eastAsia" w:ascii="仿宋_GB2312" w:hAnsi="仿宋_GB2312" w:eastAsia="仿宋_GB2312" w:cs="仿宋_GB2312"/>
          <w:sz w:val="32"/>
          <w:szCs w:val="32"/>
          <w:shd w:val="clear" w:color="auto" w:fill="FDFDFC"/>
          <w:lang w:eastAsia="zh-CN"/>
        </w:rPr>
        <w:t>：</w:t>
      </w:r>
      <w:r>
        <w:rPr>
          <w:rFonts w:hint="eastAsia" w:ascii="仿宋_GB2312" w:hAnsi="仿宋_GB2312" w:eastAsia="仿宋_GB2312" w:cs="仿宋_GB2312"/>
          <w:sz w:val="32"/>
          <w:szCs w:val="32"/>
          <w:shd w:val="clear" w:color="auto" w:fill="FDFDFC"/>
        </w:rPr>
        <w:t>学前教育专业8</w:t>
      </w:r>
      <w:r>
        <w:rPr>
          <w:rFonts w:hint="eastAsia" w:ascii="仿宋_GB2312" w:hAnsi="仿宋_GB2312" w:eastAsia="仿宋_GB2312" w:cs="仿宋_GB2312"/>
          <w:sz w:val="32"/>
          <w:szCs w:val="32"/>
          <w:shd w:val="clear" w:color="auto" w:fill="FDFDFC"/>
          <w:lang w:val="en-US" w:eastAsia="zh-CN"/>
        </w:rPr>
        <w:t>46</w:t>
      </w:r>
      <w:r>
        <w:rPr>
          <w:rFonts w:hint="eastAsia" w:ascii="仿宋_GB2312" w:hAnsi="仿宋_GB2312" w:eastAsia="仿宋_GB2312" w:cs="仿宋_GB2312"/>
          <w:sz w:val="32"/>
          <w:szCs w:val="32"/>
          <w:shd w:val="clear" w:color="auto" w:fill="FDFDFC"/>
        </w:rPr>
        <w:t>人，会计专业2</w:t>
      </w:r>
      <w:r>
        <w:rPr>
          <w:rFonts w:hint="eastAsia" w:ascii="仿宋_GB2312" w:hAnsi="仿宋_GB2312" w:eastAsia="仿宋_GB2312" w:cs="仿宋_GB2312"/>
          <w:sz w:val="32"/>
          <w:szCs w:val="32"/>
          <w:shd w:val="clear" w:color="auto" w:fill="FDFDFC"/>
          <w:lang w:val="en-US" w:eastAsia="zh-CN"/>
        </w:rPr>
        <w:t>19</w:t>
      </w:r>
      <w:r>
        <w:rPr>
          <w:rFonts w:hint="eastAsia" w:ascii="仿宋_GB2312" w:hAnsi="仿宋_GB2312" w:eastAsia="仿宋_GB2312" w:cs="仿宋_GB2312"/>
          <w:sz w:val="32"/>
          <w:szCs w:val="32"/>
          <w:shd w:val="clear" w:color="auto" w:fill="FDFDFC"/>
        </w:rPr>
        <w:t>人，模具制造专业</w:t>
      </w:r>
      <w:r>
        <w:rPr>
          <w:rFonts w:hint="eastAsia" w:ascii="仿宋_GB2312" w:hAnsi="仿宋_GB2312" w:eastAsia="仿宋_GB2312" w:cs="仿宋_GB2312"/>
          <w:sz w:val="32"/>
          <w:szCs w:val="32"/>
          <w:shd w:val="clear" w:color="auto" w:fill="FDFDFC"/>
          <w:lang w:val="en-US" w:eastAsia="zh-CN"/>
        </w:rPr>
        <w:t>481</w:t>
      </w:r>
      <w:r>
        <w:rPr>
          <w:rFonts w:hint="eastAsia" w:ascii="仿宋_GB2312" w:hAnsi="仿宋_GB2312" w:eastAsia="仿宋_GB2312" w:cs="仿宋_GB2312"/>
          <w:sz w:val="32"/>
          <w:szCs w:val="32"/>
          <w:shd w:val="clear" w:color="auto" w:fill="FDFDFC"/>
        </w:rPr>
        <w:t>人，电子商务专业4</w:t>
      </w:r>
      <w:r>
        <w:rPr>
          <w:rFonts w:hint="eastAsia" w:ascii="仿宋_GB2312" w:hAnsi="仿宋_GB2312" w:eastAsia="仿宋_GB2312" w:cs="仿宋_GB2312"/>
          <w:sz w:val="32"/>
          <w:szCs w:val="32"/>
          <w:shd w:val="clear" w:color="auto" w:fill="FDFDFC"/>
          <w:lang w:val="en-US" w:eastAsia="zh-CN"/>
        </w:rPr>
        <w:t>52</w:t>
      </w:r>
      <w:r>
        <w:rPr>
          <w:rFonts w:hint="eastAsia" w:ascii="仿宋_GB2312" w:hAnsi="仿宋_GB2312" w:eastAsia="仿宋_GB2312" w:cs="仿宋_GB2312"/>
          <w:sz w:val="32"/>
          <w:szCs w:val="32"/>
          <w:shd w:val="clear" w:color="auto" w:fill="FDFDFC"/>
        </w:rPr>
        <w:t>人，计算机动画专业1</w:t>
      </w:r>
      <w:r>
        <w:rPr>
          <w:rFonts w:hint="eastAsia" w:ascii="仿宋_GB2312" w:hAnsi="仿宋_GB2312" w:eastAsia="仿宋_GB2312" w:cs="仿宋_GB2312"/>
          <w:sz w:val="32"/>
          <w:szCs w:val="32"/>
          <w:shd w:val="clear" w:color="auto" w:fill="FDFDFC"/>
          <w:lang w:val="en-US" w:eastAsia="zh-CN"/>
        </w:rPr>
        <w:t>40</w:t>
      </w:r>
      <w:r>
        <w:rPr>
          <w:rFonts w:hint="eastAsia" w:ascii="仿宋_GB2312" w:hAnsi="仿宋_GB2312" w:eastAsia="仿宋_GB2312" w:cs="仿宋_GB2312"/>
          <w:sz w:val="32"/>
          <w:szCs w:val="32"/>
          <w:shd w:val="clear" w:color="auto" w:fill="FDFDFC"/>
        </w:rPr>
        <w:t>人，计算机应用与维修专业</w:t>
      </w:r>
      <w:r>
        <w:rPr>
          <w:rFonts w:hint="eastAsia" w:ascii="仿宋_GB2312" w:hAnsi="仿宋_GB2312" w:eastAsia="仿宋_GB2312" w:cs="仿宋_GB2312"/>
          <w:sz w:val="32"/>
          <w:szCs w:val="32"/>
          <w:shd w:val="clear" w:color="auto" w:fill="FDFDFC"/>
          <w:lang w:val="en-US" w:eastAsia="zh-CN"/>
        </w:rPr>
        <w:t>273</w:t>
      </w:r>
      <w:r>
        <w:rPr>
          <w:rFonts w:hint="eastAsia" w:ascii="仿宋_GB2312" w:hAnsi="仿宋_GB2312" w:eastAsia="仿宋_GB2312" w:cs="仿宋_GB2312"/>
          <w:sz w:val="32"/>
          <w:szCs w:val="32"/>
          <w:shd w:val="clear" w:color="auto" w:fill="FDFDFC"/>
        </w:rPr>
        <w:t>人，汽车修理专业</w:t>
      </w:r>
      <w:r>
        <w:rPr>
          <w:rFonts w:hint="eastAsia" w:ascii="仿宋_GB2312" w:hAnsi="仿宋_GB2312" w:eastAsia="仿宋_GB2312" w:cs="仿宋_GB2312"/>
          <w:sz w:val="32"/>
          <w:szCs w:val="32"/>
          <w:shd w:val="clear" w:color="auto" w:fill="FDFDFC"/>
          <w:lang w:val="en-US" w:eastAsia="zh-CN"/>
        </w:rPr>
        <w:t>532</w:t>
      </w:r>
      <w:r>
        <w:rPr>
          <w:rFonts w:hint="eastAsia" w:ascii="仿宋_GB2312" w:hAnsi="仿宋_GB2312" w:eastAsia="仿宋_GB2312" w:cs="仿宋_GB2312"/>
          <w:sz w:val="32"/>
          <w:szCs w:val="32"/>
          <w:shd w:val="clear" w:color="auto" w:fill="FDFDFC"/>
        </w:rPr>
        <w:t>人，机电产品检测技术与维修专业1</w:t>
      </w:r>
      <w:r>
        <w:rPr>
          <w:rFonts w:hint="eastAsia" w:ascii="仿宋_GB2312" w:hAnsi="仿宋_GB2312" w:eastAsia="仿宋_GB2312" w:cs="仿宋_GB2312"/>
          <w:sz w:val="32"/>
          <w:szCs w:val="32"/>
          <w:shd w:val="clear" w:color="auto" w:fill="FDFDFC"/>
          <w:lang w:val="en-US" w:eastAsia="zh-CN"/>
        </w:rPr>
        <w:t>34</w:t>
      </w:r>
      <w:r>
        <w:rPr>
          <w:rFonts w:hint="eastAsia" w:ascii="仿宋_GB2312" w:hAnsi="仿宋_GB2312" w:eastAsia="仿宋_GB2312" w:cs="仿宋_GB2312"/>
          <w:sz w:val="32"/>
          <w:szCs w:val="32"/>
          <w:shd w:val="clear" w:color="auto" w:fill="FDFDFC"/>
        </w:rPr>
        <w:t>人，数控加工专业</w:t>
      </w:r>
      <w:r>
        <w:rPr>
          <w:rFonts w:hint="eastAsia" w:ascii="仿宋_GB2312" w:hAnsi="仿宋_GB2312" w:eastAsia="仿宋_GB2312" w:cs="仿宋_GB2312"/>
          <w:sz w:val="32"/>
          <w:szCs w:val="32"/>
          <w:shd w:val="clear" w:color="auto" w:fill="FDFDFC"/>
          <w:lang w:val="en-US" w:eastAsia="zh-CN"/>
        </w:rPr>
        <w:t>219</w:t>
      </w:r>
      <w:r>
        <w:rPr>
          <w:rFonts w:hint="eastAsia" w:ascii="仿宋_GB2312" w:hAnsi="仿宋_GB2312" w:eastAsia="仿宋_GB2312" w:cs="仿宋_GB2312"/>
          <w:sz w:val="32"/>
          <w:szCs w:val="32"/>
          <w:shd w:val="clear" w:color="auto" w:fill="FDFDFC"/>
        </w:rPr>
        <w:t>人，无人机专业19人，茶艺专业</w:t>
      </w:r>
      <w:r>
        <w:rPr>
          <w:rFonts w:hint="eastAsia" w:ascii="仿宋_GB2312" w:hAnsi="仿宋_GB2312" w:eastAsia="仿宋_GB2312" w:cs="仿宋_GB2312"/>
          <w:sz w:val="32"/>
          <w:szCs w:val="32"/>
          <w:shd w:val="clear" w:color="auto" w:fill="FDFDFC"/>
          <w:lang w:val="en-US" w:eastAsia="zh-CN"/>
        </w:rPr>
        <w:t>46</w:t>
      </w:r>
      <w:r>
        <w:rPr>
          <w:rFonts w:hint="eastAsia" w:ascii="仿宋_GB2312" w:hAnsi="仿宋_GB2312" w:eastAsia="仿宋_GB2312" w:cs="仿宋_GB2312"/>
          <w:sz w:val="32"/>
          <w:szCs w:val="32"/>
          <w:shd w:val="clear" w:color="auto" w:fill="FDFDFC"/>
        </w:rPr>
        <w:t>人</w:t>
      </w:r>
      <w:r>
        <w:rPr>
          <w:rFonts w:hint="eastAsia" w:ascii="仿宋_GB2312" w:hAnsi="仿宋_GB2312" w:eastAsia="仿宋_GB2312" w:cs="仿宋_GB2312"/>
          <w:sz w:val="32"/>
          <w:szCs w:val="32"/>
          <w:shd w:val="clear" w:color="auto" w:fill="FDFDFC"/>
          <w:lang w:eastAsia="zh-CN"/>
        </w:rPr>
        <w:t>，健康服务与管理专业</w:t>
      </w:r>
      <w:r>
        <w:rPr>
          <w:rFonts w:hint="eastAsia" w:ascii="仿宋_GB2312" w:hAnsi="仿宋_GB2312" w:eastAsia="仿宋_GB2312" w:cs="仿宋_GB2312"/>
          <w:sz w:val="32"/>
          <w:szCs w:val="32"/>
          <w:shd w:val="clear" w:color="auto" w:fill="FDFDFC"/>
          <w:lang w:val="en-US" w:eastAsia="zh-CN"/>
        </w:rPr>
        <w:t>133人</w:t>
      </w:r>
      <w:r>
        <w:rPr>
          <w:rFonts w:hint="eastAsia" w:ascii="仿宋_GB2312" w:hAnsi="仿宋_GB2312" w:eastAsia="仿宋_GB2312" w:cs="仿宋_GB2312"/>
          <w:sz w:val="32"/>
          <w:szCs w:val="32"/>
          <w:shd w:val="clear" w:color="auto" w:fill="FDFDFC"/>
        </w:rPr>
        <w:t>。各专业人数及人数变化情况见下表：</w:t>
      </w:r>
    </w:p>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表2：学生专业结构人数表</w:t>
      </w:r>
    </w:p>
    <w:tbl>
      <w:tblPr>
        <w:tblStyle w:val="13"/>
        <w:tblW w:w="8175" w:type="dxa"/>
        <w:jc w:val="cente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2319"/>
        <w:gridCol w:w="1814"/>
        <w:gridCol w:w="1814"/>
        <w:gridCol w:w="2228"/>
      </w:tblGrid>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691" w:hRule="atLeast"/>
          <w:jc w:val="center"/>
        </w:trPr>
        <w:tc>
          <w:tcPr>
            <w:tcW w:w="2319" w:type="dxa"/>
            <w:tcBorders>
              <w:tl2br w:val="nil"/>
              <w:tr2bl w:val="nil"/>
            </w:tcBorders>
            <w:shd w:val="clear" w:color="auto" w:fill="5B9BD5"/>
            <w:vAlign w:val="center"/>
          </w:tcPr>
          <w:p>
            <w:pPr>
              <w:spacing w:line="360" w:lineRule="auto"/>
              <w:jc w:val="center"/>
              <w:rPr>
                <w:rFonts w:ascii="宋体" w:hAnsi="宋体" w:cs="宋体"/>
                <w:b/>
                <w:bCs/>
                <w:sz w:val="24"/>
              </w:rPr>
            </w:pPr>
            <w:r>
              <w:rPr>
                <w:rFonts w:hint="eastAsia" w:ascii="宋体" w:hAnsi="宋体" w:cs="宋体"/>
                <w:b/>
                <w:bCs/>
                <w:sz w:val="24"/>
              </w:rPr>
              <w:t>专业</w:t>
            </w:r>
          </w:p>
        </w:tc>
        <w:tc>
          <w:tcPr>
            <w:tcW w:w="1814" w:type="dxa"/>
            <w:tcBorders>
              <w:tl2br w:val="nil"/>
              <w:tr2bl w:val="nil"/>
            </w:tcBorders>
            <w:shd w:val="clear" w:color="auto" w:fill="5B9BD5"/>
            <w:vAlign w:val="center"/>
          </w:tcPr>
          <w:p>
            <w:pPr>
              <w:spacing w:line="360" w:lineRule="auto"/>
              <w:jc w:val="center"/>
              <w:rPr>
                <w:rFonts w:ascii="宋体" w:hAnsi="宋体" w:cs="宋体" w:eastAsiaTheme="minorEastAsia"/>
                <w:b/>
                <w:bCs/>
                <w:kern w:val="2"/>
                <w:sz w:val="24"/>
                <w:szCs w:val="24"/>
                <w:lang w:val="en-US" w:eastAsia="zh-CN" w:bidi="ar-SA"/>
              </w:rPr>
            </w:pPr>
            <w:r>
              <w:rPr>
                <w:rFonts w:hint="eastAsia" w:ascii="宋体" w:hAnsi="宋体" w:cs="宋体"/>
                <w:b/>
                <w:bCs/>
                <w:sz w:val="24"/>
              </w:rPr>
              <w:t>2019年人数</w:t>
            </w:r>
          </w:p>
        </w:tc>
        <w:tc>
          <w:tcPr>
            <w:tcW w:w="1814" w:type="dxa"/>
            <w:tcBorders>
              <w:tl2br w:val="nil"/>
              <w:tr2bl w:val="nil"/>
            </w:tcBorders>
            <w:shd w:val="clear" w:color="auto" w:fill="5B9BD5"/>
            <w:vAlign w:val="center"/>
          </w:tcPr>
          <w:p>
            <w:pPr>
              <w:spacing w:line="360" w:lineRule="auto"/>
              <w:jc w:val="center"/>
              <w:rPr>
                <w:rFonts w:ascii="宋体" w:hAnsi="宋体" w:cs="宋体"/>
                <w:b/>
                <w:bCs/>
                <w:sz w:val="24"/>
              </w:rPr>
            </w:pPr>
            <w:r>
              <w:rPr>
                <w:rFonts w:hint="eastAsia" w:ascii="宋体" w:hAnsi="宋体" w:cs="宋体"/>
                <w:b/>
                <w:bCs/>
                <w:sz w:val="24"/>
              </w:rPr>
              <w:t>20</w:t>
            </w:r>
            <w:r>
              <w:rPr>
                <w:rFonts w:hint="eastAsia" w:ascii="宋体" w:hAnsi="宋体" w:cs="宋体"/>
                <w:b/>
                <w:bCs/>
                <w:sz w:val="24"/>
                <w:lang w:val="en-US" w:eastAsia="zh-CN"/>
              </w:rPr>
              <w:t>20</w:t>
            </w:r>
            <w:r>
              <w:rPr>
                <w:rFonts w:hint="eastAsia" w:ascii="宋体" w:hAnsi="宋体" w:cs="宋体"/>
                <w:b/>
                <w:bCs/>
                <w:sz w:val="24"/>
              </w:rPr>
              <w:t>年人数</w:t>
            </w:r>
          </w:p>
        </w:tc>
        <w:tc>
          <w:tcPr>
            <w:tcW w:w="2228" w:type="dxa"/>
            <w:tcBorders>
              <w:tl2br w:val="nil"/>
              <w:tr2bl w:val="nil"/>
            </w:tcBorders>
            <w:shd w:val="clear" w:color="auto" w:fill="5B9BD5"/>
            <w:vAlign w:val="center"/>
          </w:tcPr>
          <w:p>
            <w:pPr>
              <w:spacing w:line="360" w:lineRule="auto"/>
              <w:jc w:val="center"/>
              <w:rPr>
                <w:rFonts w:ascii="宋体" w:hAnsi="宋体" w:cs="宋体"/>
                <w:b/>
                <w:bCs/>
                <w:sz w:val="24"/>
              </w:rPr>
            </w:pPr>
            <w:r>
              <w:rPr>
                <w:rFonts w:hint="eastAsia" w:ascii="宋体" w:hAnsi="宋体" w:cs="宋体"/>
                <w:b/>
                <w:bCs/>
                <w:sz w:val="24"/>
              </w:rPr>
              <w:t>增长或降低率（%）</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幼儿教育</w:t>
            </w:r>
          </w:p>
        </w:tc>
        <w:tc>
          <w:tcPr>
            <w:tcW w:w="1814" w:type="dxa"/>
            <w:tcBorders>
              <w:tl2br w:val="nil"/>
              <w:tr2bl w:val="nil"/>
            </w:tcBorders>
            <w:shd w:val="clear" w:color="auto" w:fill="F1F1F1"/>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855</w:t>
            </w:r>
          </w:p>
        </w:tc>
        <w:tc>
          <w:tcPr>
            <w:tcW w:w="1814" w:type="dxa"/>
            <w:tcBorders>
              <w:tl2br w:val="nil"/>
              <w:tr2bl w:val="nil"/>
            </w:tcBorders>
            <w:shd w:val="clear" w:color="auto" w:fill="F1F1F1"/>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rPr>
              <w:t>8</w:t>
            </w:r>
            <w:r>
              <w:rPr>
                <w:rFonts w:hint="eastAsia" w:ascii="宋体" w:hAnsi="宋体" w:cs="宋体"/>
                <w:sz w:val="24"/>
                <w:lang w:val="en-US" w:eastAsia="zh-CN"/>
              </w:rPr>
              <w:t>46</w:t>
            </w:r>
          </w:p>
        </w:tc>
        <w:tc>
          <w:tcPr>
            <w:tcW w:w="2228" w:type="dxa"/>
            <w:tcBorders>
              <w:tl2br w:val="nil"/>
              <w:tr2bl w:val="nil"/>
            </w:tcBorders>
            <w:shd w:val="clear" w:color="auto" w:fill="F1F1F1"/>
            <w:vAlign w:val="center"/>
          </w:tcPr>
          <w:p>
            <w:pPr>
              <w:spacing w:line="360" w:lineRule="auto"/>
              <w:jc w:val="center"/>
              <w:rPr>
                <w:rFonts w:ascii="宋体" w:hAnsi="宋体" w:cs="宋体"/>
                <w:sz w:val="24"/>
              </w:rPr>
            </w:pPr>
            <w:r>
              <w:rPr>
                <w:rFonts w:hint="eastAsia" w:ascii="宋体" w:hAnsi="宋体" w:cs="宋体"/>
                <w:sz w:val="24"/>
              </w:rPr>
              <w:t>-</w:t>
            </w:r>
            <w:r>
              <w:rPr>
                <w:rFonts w:hint="eastAsia" w:ascii="宋体" w:hAnsi="宋体" w:cs="宋体"/>
                <w:sz w:val="24"/>
                <w:lang w:val="en-US" w:eastAsia="zh-CN"/>
              </w:rPr>
              <w:t>1</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vAlign w:val="center"/>
          </w:tcPr>
          <w:p>
            <w:pPr>
              <w:spacing w:line="360" w:lineRule="auto"/>
              <w:jc w:val="center"/>
              <w:rPr>
                <w:rFonts w:ascii="宋体" w:hAnsi="宋体" w:cs="宋体"/>
                <w:b/>
                <w:bCs/>
                <w:sz w:val="24"/>
              </w:rPr>
            </w:pPr>
            <w:r>
              <w:rPr>
                <w:rFonts w:hint="eastAsia" w:ascii="宋体" w:hAnsi="宋体" w:cs="宋体"/>
                <w:b/>
                <w:bCs/>
                <w:sz w:val="24"/>
              </w:rPr>
              <w:t>会计</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265</w:t>
            </w:r>
          </w:p>
        </w:tc>
        <w:tc>
          <w:tcPr>
            <w:tcW w:w="1814" w:type="dxa"/>
            <w:tcBorders>
              <w:tl2br w:val="nil"/>
              <w:tr2bl w:val="nil"/>
            </w:tcBorders>
            <w:shd w:val="clear" w:color="auto" w:fill="9CC2E5"/>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rPr>
              <w:t>2</w:t>
            </w:r>
            <w:r>
              <w:rPr>
                <w:rFonts w:hint="eastAsia" w:ascii="宋体" w:hAnsi="宋体" w:cs="宋体"/>
                <w:sz w:val="24"/>
                <w:lang w:val="en-US" w:eastAsia="zh-CN"/>
              </w:rPr>
              <w:t>19</w:t>
            </w:r>
          </w:p>
        </w:tc>
        <w:tc>
          <w:tcPr>
            <w:tcW w:w="2228" w:type="dxa"/>
            <w:tcBorders>
              <w:tl2br w:val="nil"/>
              <w:tr2bl w:val="nil"/>
            </w:tcBorders>
            <w:shd w:val="clear" w:color="auto" w:fill="9CC2E5"/>
            <w:vAlign w:val="center"/>
          </w:tcPr>
          <w:p>
            <w:pPr>
              <w:spacing w:line="360" w:lineRule="auto"/>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7</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56"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汽车修理</w:t>
            </w:r>
          </w:p>
        </w:tc>
        <w:tc>
          <w:tcPr>
            <w:tcW w:w="1814" w:type="dxa"/>
            <w:tcBorders>
              <w:tl2br w:val="nil"/>
              <w:tr2bl w:val="nil"/>
            </w:tcBorders>
            <w:shd w:val="clear" w:color="auto" w:fill="F1F1F1"/>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497</w:t>
            </w:r>
          </w:p>
        </w:tc>
        <w:tc>
          <w:tcPr>
            <w:tcW w:w="1814" w:type="dxa"/>
            <w:tcBorders>
              <w:tl2br w:val="nil"/>
              <w:tr2bl w:val="nil"/>
            </w:tcBorders>
            <w:shd w:val="clear" w:color="auto" w:fill="F1F1F1"/>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532</w:t>
            </w:r>
          </w:p>
        </w:tc>
        <w:tc>
          <w:tcPr>
            <w:tcW w:w="2228" w:type="dxa"/>
            <w:tcBorders>
              <w:tl2br w:val="nil"/>
              <w:tr2bl w:val="nil"/>
            </w:tcBorders>
            <w:shd w:val="clear" w:color="auto" w:fill="F1F1F1"/>
            <w:vAlign w:val="center"/>
          </w:tcPr>
          <w:p>
            <w:pPr>
              <w:spacing w:line="360" w:lineRule="auto"/>
              <w:jc w:val="center"/>
              <w:rPr>
                <w:rFonts w:ascii="宋体" w:hAnsi="宋体" w:cs="宋体"/>
                <w:sz w:val="24"/>
              </w:rPr>
            </w:pPr>
            <w:r>
              <w:rPr>
                <w:rFonts w:hint="eastAsia" w:ascii="宋体" w:hAnsi="宋体" w:cs="宋体"/>
                <w:sz w:val="24"/>
                <w:lang w:val="en-US" w:eastAsia="zh-CN"/>
              </w:rPr>
              <w:t>7.04</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vAlign w:val="center"/>
          </w:tcPr>
          <w:p>
            <w:pPr>
              <w:spacing w:line="360" w:lineRule="auto"/>
              <w:jc w:val="center"/>
              <w:rPr>
                <w:rFonts w:ascii="宋体" w:hAnsi="宋体" w:cs="宋体"/>
                <w:b/>
                <w:bCs/>
                <w:sz w:val="24"/>
              </w:rPr>
            </w:pPr>
            <w:r>
              <w:rPr>
                <w:rFonts w:hint="eastAsia" w:ascii="宋体" w:hAnsi="宋体" w:cs="宋体"/>
                <w:b/>
                <w:bCs/>
                <w:sz w:val="24"/>
              </w:rPr>
              <w:t>模具制造</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599</w:t>
            </w:r>
          </w:p>
        </w:tc>
        <w:tc>
          <w:tcPr>
            <w:tcW w:w="1814" w:type="dxa"/>
            <w:tcBorders>
              <w:tl2br w:val="nil"/>
              <w:tr2bl w:val="nil"/>
            </w:tcBorders>
            <w:shd w:val="clear" w:color="auto" w:fill="9CC2E5"/>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481</w:t>
            </w:r>
          </w:p>
        </w:tc>
        <w:tc>
          <w:tcPr>
            <w:tcW w:w="2228" w:type="dxa"/>
            <w:tcBorders>
              <w:tl2br w:val="nil"/>
              <w:tr2bl w:val="nil"/>
            </w:tcBorders>
            <w:shd w:val="clear" w:color="auto" w:fill="9CC2E5"/>
            <w:vAlign w:val="center"/>
          </w:tcPr>
          <w:p>
            <w:pPr>
              <w:spacing w:line="360" w:lineRule="auto"/>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9.7</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86"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数控加工</w:t>
            </w:r>
          </w:p>
        </w:tc>
        <w:tc>
          <w:tcPr>
            <w:tcW w:w="1814" w:type="dxa"/>
            <w:tcBorders>
              <w:tl2br w:val="nil"/>
              <w:tr2bl w:val="nil"/>
            </w:tcBorders>
            <w:shd w:val="clear" w:color="auto" w:fill="F1F1F1"/>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186</w:t>
            </w:r>
          </w:p>
        </w:tc>
        <w:tc>
          <w:tcPr>
            <w:tcW w:w="1814" w:type="dxa"/>
            <w:tcBorders>
              <w:tl2br w:val="nil"/>
              <w:tr2bl w:val="nil"/>
            </w:tcBorders>
            <w:shd w:val="clear" w:color="auto" w:fill="F1F1F1"/>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219</w:t>
            </w:r>
          </w:p>
        </w:tc>
        <w:tc>
          <w:tcPr>
            <w:tcW w:w="2228" w:type="dxa"/>
            <w:tcBorders>
              <w:tl2br w:val="nil"/>
              <w:tr2bl w:val="nil"/>
            </w:tcBorders>
            <w:shd w:val="clear" w:color="auto" w:fill="F1F1F1"/>
            <w:vAlign w:val="center"/>
          </w:tcPr>
          <w:p>
            <w:pPr>
              <w:spacing w:line="360" w:lineRule="auto"/>
              <w:jc w:val="center"/>
              <w:rPr>
                <w:rFonts w:ascii="宋体" w:hAnsi="宋体" w:cs="宋体"/>
                <w:sz w:val="24"/>
              </w:rPr>
            </w:pPr>
            <w:r>
              <w:rPr>
                <w:rFonts w:hint="eastAsia" w:ascii="宋体" w:hAnsi="宋体" w:cs="宋体"/>
                <w:sz w:val="24"/>
                <w:lang w:val="en-US" w:eastAsia="zh-CN"/>
              </w:rPr>
              <w:t>17.7</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vAlign w:val="center"/>
          </w:tcPr>
          <w:p>
            <w:pPr>
              <w:spacing w:line="360" w:lineRule="auto"/>
              <w:ind w:left="723" w:hanging="723" w:hangingChars="300"/>
              <w:jc w:val="center"/>
              <w:rPr>
                <w:rFonts w:ascii="宋体" w:hAnsi="宋体" w:cs="宋体"/>
                <w:b/>
                <w:bCs/>
                <w:sz w:val="24"/>
              </w:rPr>
            </w:pPr>
            <w:r>
              <w:rPr>
                <w:rFonts w:hint="eastAsia" w:ascii="宋体" w:hAnsi="宋体" w:cs="宋体"/>
                <w:b/>
                <w:bCs/>
                <w:sz w:val="24"/>
              </w:rPr>
              <w:t>计算机应用与维修</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313</w:t>
            </w:r>
          </w:p>
        </w:tc>
        <w:tc>
          <w:tcPr>
            <w:tcW w:w="1814" w:type="dxa"/>
            <w:tcBorders>
              <w:tl2br w:val="nil"/>
              <w:tr2bl w:val="nil"/>
            </w:tcBorders>
            <w:shd w:val="clear" w:color="auto" w:fill="9CC2E5"/>
            <w:vAlign w:val="center"/>
          </w:tcPr>
          <w:p>
            <w:pPr>
              <w:spacing w:line="36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273</w:t>
            </w:r>
          </w:p>
        </w:tc>
        <w:tc>
          <w:tcPr>
            <w:tcW w:w="2228" w:type="dxa"/>
            <w:tcBorders>
              <w:tl2br w:val="nil"/>
              <w:tr2bl w:val="nil"/>
            </w:tcBorders>
            <w:shd w:val="clear" w:color="auto" w:fill="9CC2E5"/>
            <w:vAlign w:val="center"/>
          </w:tcPr>
          <w:p>
            <w:pPr>
              <w:spacing w:line="360" w:lineRule="auto"/>
              <w:jc w:val="center"/>
              <w:rPr>
                <w:rFonts w:ascii="宋体" w:hAnsi="宋体" w:cs="宋体"/>
                <w:sz w:val="24"/>
              </w:rPr>
            </w:pPr>
            <w:r>
              <w:rPr>
                <w:rFonts w:hint="eastAsia" w:ascii="宋体" w:hAnsi="宋体" w:cs="宋体"/>
                <w:sz w:val="24"/>
              </w:rPr>
              <w:t>-1</w:t>
            </w:r>
            <w:r>
              <w:rPr>
                <w:rFonts w:hint="eastAsia" w:ascii="宋体" w:hAnsi="宋体" w:cs="宋体"/>
                <w:sz w:val="24"/>
                <w:lang w:val="en-US" w:eastAsia="zh-CN"/>
              </w:rPr>
              <w:t>2.8</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电子商务</w:t>
            </w:r>
          </w:p>
        </w:tc>
        <w:tc>
          <w:tcPr>
            <w:tcW w:w="1814" w:type="dxa"/>
            <w:tcBorders>
              <w:tl2br w:val="nil"/>
              <w:tr2bl w:val="nil"/>
            </w:tcBorders>
            <w:shd w:val="clear" w:color="auto" w:fill="F1F1F1"/>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456</w:t>
            </w:r>
          </w:p>
        </w:tc>
        <w:tc>
          <w:tcPr>
            <w:tcW w:w="1814" w:type="dxa"/>
            <w:tcBorders>
              <w:tl2br w:val="nil"/>
              <w:tr2bl w:val="nil"/>
            </w:tcBorders>
            <w:shd w:val="clear" w:color="auto" w:fill="F1F1F1"/>
            <w:vAlign w:val="center"/>
          </w:tcPr>
          <w:p>
            <w:pPr>
              <w:spacing w:line="360" w:lineRule="auto"/>
              <w:jc w:val="center"/>
              <w:rPr>
                <w:rFonts w:hint="eastAsia" w:ascii="宋体" w:hAnsi="宋体" w:cs="宋体" w:eastAsiaTheme="minorEastAsia"/>
                <w:sz w:val="24"/>
                <w:lang w:eastAsia="zh-CN"/>
              </w:rPr>
            </w:pPr>
            <w:r>
              <w:rPr>
                <w:rFonts w:hint="eastAsia" w:ascii="宋体" w:hAnsi="宋体" w:cs="宋体"/>
                <w:sz w:val="24"/>
              </w:rPr>
              <w:t>45</w:t>
            </w:r>
            <w:r>
              <w:rPr>
                <w:rFonts w:hint="eastAsia" w:ascii="宋体" w:hAnsi="宋体" w:cs="宋体"/>
                <w:sz w:val="24"/>
                <w:lang w:val="en-US" w:eastAsia="zh-CN"/>
              </w:rPr>
              <w:t>2</w:t>
            </w:r>
          </w:p>
        </w:tc>
        <w:tc>
          <w:tcPr>
            <w:tcW w:w="2228" w:type="dxa"/>
            <w:tcBorders>
              <w:tl2br w:val="nil"/>
              <w:tr2bl w:val="nil"/>
            </w:tcBorders>
            <w:shd w:val="clear" w:color="auto" w:fill="F1F1F1"/>
            <w:vAlign w:val="center"/>
          </w:tcPr>
          <w:p>
            <w:pPr>
              <w:spacing w:line="360" w:lineRule="auto"/>
              <w:jc w:val="center"/>
              <w:rPr>
                <w:rFonts w:ascii="宋体" w:hAnsi="宋体" w:cs="宋体"/>
                <w:sz w:val="24"/>
              </w:rPr>
            </w:pPr>
            <w:r>
              <w:rPr>
                <w:rFonts w:hint="eastAsia" w:ascii="宋体" w:hAnsi="宋体" w:cs="宋体"/>
                <w:sz w:val="24"/>
              </w:rPr>
              <w:t>-</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654" w:hRule="atLeast"/>
          <w:jc w:val="center"/>
        </w:trPr>
        <w:tc>
          <w:tcPr>
            <w:tcW w:w="2319" w:type="dxa"/>
            <w:tcBorders>
              <w:tl2br w:val="nil"/>
              <w:tr2bl w:val="nil"/>
            </w:tcBorders>
            <w:shd w:val="clear" w:color="auto" w:fill="9CC2E5"/>
            <w:vAlign w:val="center"/>
          </w:tcPr>
          <w:p>
            <w:pPr>
              <w:jc w:val="center"/>
              <w:rPr>
                <w:rFonts w:ascii="宋体" w:hAnsi="宋体" w:cs="宋体"/>
                <w:b/>
                <w:bCs/>
                <w:sz w:val="24"/>
              </w:rPr>
            </w:pPr>
            <w:r>
              <w:rPr>
                <w:rFonts w:hint="eastAsia" w:ascii="宋体" w:hAnsi="宋体" w:cs="宋体"/>
                <w:b/>
                <w:bCs/>
                <w:sz w:val="24"/>
              </w:rPr>
              <w:t>电气自动</w:t>
            </w:r>
            <w:r>
              <w:rPr>
                <w:rFonts w:ascii="宋体" w:hAnsi="宋体" w:cs="宋体"/>
                <w:b/>
                <w:bCs/>
                <w:sz w:val="24"/>
              </w:rPr>
              <w:t>化设备安装</w:t>
            </w:r>
            <w:r>
              <w:rPr>
                <w:rFonts w:hint="eastAsia" w:ascii="宋体" w:hAnsi="宋体" w:cs="宋体"/>
                <w:b/>
                <w:bCs/>
                <w:sz w:val="24"/>
              </w:rPr>
              <w:t>与维修</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155</w:t>
            </w:r>
          </w:p>
        </w:tc>
        <w:tc>
          <w:tcPr>
            <w:tcW w:w="1814" w:type="dxa"/>
            <w:tcBorders>
              <w:tl2br w:val="nil"/>
              <w:tr2bl w:val="nil"/>
            </w:tcBorders>
            <w:shd w:val="clear" w:color="auto" w:fill="9CC2E5"/>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rPr>
              <w:t>1</w:t>
            </w:r>
            <w:r>
              <w:rPr>
                <w:rFonts w:hint="eastAsia" w:ascii="宋体" w:hAnsi="宋体" w:cs="宋体"/>
                <w:sz w:val="24"/>
                <w:lang w:val="en-US" w:eastAsia="zh-CN"/>
              </w:rPr>
              <w:t>34</w:t>
            </w:r>
          </w:p>
        </w:tc>
        <w:tc>
          <w:tcPr>
            <w:tcW w:w="2228" w:type="dxa"/>
            <w:tcBorders>
              <w:tl2br w:val="nil"/>
              <w:tr2bl w:val="nil"/>
            </w:tcBorders>
            <w:shd w:val="clear" w:color="auto" w:fill="9CC2E5"/>
            <w:vAlign w:val="center"/>
          </w:tcPr>
          <w:p>
            <w:pPr>
              <w:spacing w:line="360" w:lineRule="auto"/>
              <w:jc w:val="center"/>
              <w:rPr>
                <w:rFonts w:ascii="宋体" w:hAnsi="宋体" w:cs="宋体"/>
                <w:sz w:val="24"/>
              </w:rPr>
            </w:pPr>
            <w:r>
              <w:rPr>
                <w:rFonts w:hint="eastAsia" w:ascii="宋体" w:hAnsi="宋体" w:cs="宋体"/>
                <w:sz w:val="24"/>
              </w:rPr>
              <w:t>-</w:t>
            </w:r>
            <w:r>
              <w:rPr>
                <w:rFonts w:hint="eastAsia" w:ascii="宋体" w:hAnsi="宋体" w:cs="宋体"/>
                <w:sz w:val="24"/>
                <w:lang w:val="en-US" w:eastAsia="zh-CN"/>
              </w:rPr>
              <w:t>13</w:t>
            </w:r>
            <w:r>
              <w:rPr>
                <w:rFonts w:hint="eastAsia" w:ascii="宋体" w:hAnsi="宋体" w:cs="宋体"/>
                <w:sz w:val="24"/>
              </w:rPr>
              <w:t>.</w:t>
            </w:r>
            <w:r>
              <w:rPr>
                <w:rFonts w:hint="eastAsia" w:ascii="宋体" w:hAnsi="宋体" w:cs="宋体"/>
                <w:sz w:val="24"/>
                <w:lang w:val="en-US" w:eastAsia="zh-CN"/>
              </w:rPr>
              <w:t>6</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动画制作</w:t>
            </w:r>
          </w:p>
        </w:tc>
        <w:tc>
          <w:tcPr>
            <w:tcW w:w="1814" w:type="dxa"/>
            <w:tcBorders>
              <w:tl2br w:val="nil"/>
              <w:tr2bl w:val="nil"/>
            </w:tcBorders>
            <w:shd w:val="clear" w:color="auto" w:fill="F1F1F1"/>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131</w:t>
            </w:r>
          </w:p>
        </w:tc>
        <w:tc>
          <w:tcPr>
            <w:tcW w:w="1814" w:type="dxa"/>
            <w:tcBorders>
              <w:tl2br w:val="nil"/>
              <w:tr2bl w:val="nil"/>
            </w:tcBorders>
            <w:shd w:val="clear" w:color="auto" w:fill="F1F1F1"/>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rPr>
              <w:t>1</w:t>
            </w:r>
            <w:r>
              <w:rPr>
                <w:rFonts w:hint="eastAsia" w:ascii="宋体" w:hAnsi="宋体" w:cs="宋体"/>
                <w:sz w:val="24"/>
                <w:lang w:val="en-US" w:eastAsia="zh-CN"/>
              </w:rPr>
              <w:t>40</w:t>
            </w:r>
          </w:p>
        </w:tc>
        <w:tc>
          <w:tcPr>
            <w:tcW w:w="2228" w:type="dxa"/>
            <w:tcBorders>
              <w:tl2br w:val="nil"/>
              <w:tr2bl w:val="nil"/>
            </w:tcBorders>
            <w:shd w:val="clear" w:color="auto" w:fill="F1F1F1"/>
            <w:vAlign w:val="center"/>
          </w:tcPr>
          <w:p>
            <w:pPr>
              <w:spacing w:line="360" w:lineRule="auto"/>
              <w:jc w:val="center"/>
              <w:rPr>
                <w:rFonts w:ascii="宋体" w:hAnsi="宋体" w:cs="宋体"/>
                <w:sz w:val="24"/>
              </w:rPr>
            </w:pPr>
            <w:r>
              <w:rPr>
                <w:rFonts w:hint="eastAsia" w:ascii="宋体" w:hAnsi="宋体" w:cs="宋体"/>
                <w:sz w:val="24"/>
                <w:lang w:val="en-US" w:eastAsia="zh-CN"/>
              </w:rPr>
              <w:t>6.9</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vAlign w:val="center"/>
          </w:tcPr>
          <w:p>
            <w:pPr>
              <w:spacing w:line="360" w:lineRule="auto"/>
              <w:jc w:val="center"/>
              <w:rPr>
                <w:rFonts w:ascii="宋体" w:hAnsi="宋体" w:cs="宋体"/>
                <w:b/>
                <w:bCs/>
                <w:sz w:val="24"/>
              </w:rPr>
            </w:pPr>
            <w:r>
              <w:rPr>
                <w:rFonts w:hint="eastAsia" w:ascii="宋体" w:hAnsi="宋体" w:cs="宋体"/>
                <w:b/>
                <w:bCs/>
                <w:sz w:val="24"/>
              </w:rPr>
              <w:t>无人机</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kern w:val="2"/>
                <w:sz w:val="24"/>
                <w:szCs w:val="24"/>
                <w:lang w:val="en-US" w:eastAsia="zh-CN" w:bidi="ar-SA"/>
              </w:rPr>
            </w:pPr>
            <w:r>
              <w:rPr>
                <w:rFonts w:hint="eastAsia" w:ascii="宋体" w:hAnsi="宋体" w:cs="宋体"/>
                <w:sz w:val="24"/>
              </w:rPr>
              <w:t>19</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sz w:val="24"/>
              </w:rPr>
            </w:pPr>
            <w:r>
              <w:rPr>
                <w:rFonts w:hint="eastAsia" w:ascii="宋体" w:hAnsi="宋体" w:cs="宋体"/>
                <w:sz w:val="24"/>
              </w:rPr>
              <w:t>19</w:t>
            </w:r>
          </w:p>
        </w:tc>
        <w:tc>
          <w:tcPr>
            <w:tcW w:w="2228" w:type="dxa"/>
            <w:tcBorders>
              <w:tl2br w:val="nil"/>
              <w:tr2bl w:val="nil"/>
            </w:tcBorders>
            <w:shd w:val="clear" w:color="auto" w:fill="9CC2E5"/>
            <w:vAlign w:val="center"/>
          </w:tcPr>
          <w:p>
            <w:pPr>
              <w:spacing w:line="360" w:lineRule="auto"/>
              <w:jc w:val="center"/>
              <w:rPr>
                <w:rFonts w:ascii="宋体" w:hAnsi="宋体" w:eastAsia="宋体" w:cs="宋体"/>
                <w:sz w:val="24"/>
              </w:rPr>
            </w:pPr>
            <w:r>
              <w:rPr>
                <w:rFonts w:hint="eastAsia" w:ascii="宋体" w:hAnsi="宋体" w:cs="宋体"/>
                <w:sz w:val="24"/>
              </w:rPr>
              <w:t>0</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68"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茶艺</w:t>
            </w:r>
          </w:p>
        </w:tc>
        <w:tc>
          <w:tcPr>
            <w:tcW w:w="1814" w:type="dxa"/>
            <w:tcBorders>
              <w:tl2br w:val="nil"/>
              <w:tr2bl w:val="nil"/>
            </w:tcBorders>
            <w:shd w:val="clear" w:color="auto" w:fill="F1F1F1"/>
            <w:vAlign w:val="center"/>
          </w:tcPr>
          <w:p>
            <w:pPr>
              <w:spacing w:line="360" w:lineRule="auto"/>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20</w:t>
            </w:r>
          </w:p>
        </w:tc>
        <w:tc>
          <w:tcPr>
            <w:tcW w:w="1814" w:type="dxa"/>
            <w:tcBorders>
              <w:tl2br w:val="nil"/>
              <w:tr2bl w:val="nil"/>
            </w:tcBorders>
            <w:shd w:val="clear" w:color="auto" w:fill="F1F1F1"/>
            <w:vAlign w:val="center"/>
          </w:tcPr>
          <w:p>
            <w:pPr>
              <w:spacing w:line="360" w:lineRule="auto"/>
              <w:jc w:val="center"/>
              <w:rPr>
                <w:rFonts w:hint="default" w:ascii="宋体" w:hAnsi="宋体" w:eastAsia="宋体" w:cs="宋体"/>
                <w:color w:val="auto"/>
                <w:sz w:val="24"/>
                <w:lang w:val="en-US" w:eastAsia="zh-CN"/>
              </w:rPr>
            </w:pPr>
            <w:r>
              <w:rPr>
                <w:rFonts w:hint="eastAsia" w:ascii="宋体" w:hAnsi="宋体" w:eastAsia="宋体" w:cs="宋体"/>
                <w:color w:val="auto"/>
                <w:sz w:val="24"/>
                <w:lang w:val="en-US" w:eastAsia="zh-CN"/>
              </w:rPr>
              <w:t>46</w:t>
            </w:r>
          </w:p>
        </w:tc>
        <w:tc>
          <w:tcPr>
            <w:tcW w:w="2228" w:type="dxa"/>
            <w:tcBorders>
              <w:tl2br w:val="nil"/>
              <w:tr2bl w:val="nil"/>
            </w:tcBorders>
            <w:shd w:val="clear" w:color="auto" w:fill="F1F1F1"/>
            <w:vAlign w:val="center"/>
          </w:tcPr>
          <w:p>
            <w:pPr>
              <w:spacing w:line="360" w:lineRule="auto"/>
              <w:jc w:val="center"/>
              <w:rPr>
                <w:rFonts w:ascii="宋体" w:hAnsi="宋体" w:cs="宋体"/>
                <w:sz w:val="24"/>
              </w:rPr>
            </w:pPr>
            <w:r>
              <w:rPr>
                <w:rFonts w:hint="eastAsia" w:ascii="宋体" w:hAnsi="宋体" w:cs="宋体"/>
                <w:sz w:val="24"/>
                <w:lang w:val="en-US" w:eastAsia="zh-CN"/>
              </w:rPr>
              <w:t>130</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vAlign w:val="center"/>
          </w:tcPr>
          <w:p>
            <w:pPr>
              <w:spacing w:line="360" w:lineRule="auto"/>
              <w:jc w:val="center"/>
              <w:rPr>
                <w:rFonts w:ascii="宋体" w:hAnsi="宋体" w:cs="宋体"/>
                <w:b/>
                <w:bCs/>
                <w:sz w:val="24"/>
              </w:rPr>
            </w:pPr>
            <w:r>
              <w:rPr>
                <w:rFonts w:hint="eastAsia" w:ascii="宋体" w:hAnsi="宋体" w:cs="宋体"/>
                <w:b/>
                <w:bCs/>
                <w:sz w:val="24"/>
              </w:rPr>
              <w:t>室内设计</w:t>
            </w:r>
          </w:p>
        </w:tc>
        <w:tc>
          <w:tcPr>
            <w:tcW w:w="1814" w:type="dxa"/>
            <w:tcBorders>
              <w:tl2br w:val="nil"/>
              <w:tr2bl w:val="nil"/>
            </w:tcBorders>
            <w:shd w:val="clear" w:color="auto" w:fill="9CC2E5"/>
            <w:vAlign w:val="center"/>
          </w:tcPr>
          <w:p>
            <w:pPr>
              <w:spacing w:line="360" w:lineRule="auto"/>
              <w:jc w:val="center"/>
              <w:rPr>
                <w:rFonts w:ascii="宋体" w:hAnsi="宋体" w:eastAsia="宋体" w:cs="宋体"/>
                <w:color w:val="auto"/>
                <w:kern w:val="2"/>
                <w:sz w:val="24"/>
                <w:szCs w:val="24"/>
                <w:lang w:val="en-US" w:eastAsia="zh-CN" w:bidi="ar-SA"/>
              </w:rPr>
            </w:pPr>
            <w:r>
              <w:rPr>
                <w:rFonts w:hint="eastAsia" w:ascii="宋体" w:hAnsi="宋体" w:cs="宋体"/>
                <w:color w:val="auto"/>
                <w:sz w:val="24"/>
              </w:rPr>
              <w:t>154</w:t>
            </w:r>
          </w:p>
        </w:tc>
        <w:tc>
          <w:tcPr>
            <w:tcW w:w="1814" w:type="dxa"/>
            <w:tcBorders>
              <w:tl2br w:val="nil"/>
              <w:tr2bl w:val="nil"/>
            </w:tcBorders>
            <w:shd w:val="clear" w:color="auto" w:fill="9CC2E5"/>
            <w:vAlign w:val="center"/>
          </w:tcPr>
          <w:p>
            <w:pPr>
              <w:spacing w:line="360" w:lineRule="auto"/>
              <w:jc w:val="center"/>
              <w:rPr>
                <w:rFonts w:hint="default" w:ascii="宋体" w:hAnsi="宋体" w:cs="宋体" w:eastAsiaTheme="minorEastAsia"/>
                <w:color w:val="auto"/>
                <w:sz w:val="24"/>
                <w:lang w:val="en-US" w:eastAsia="zh-CN"/>
              </w:rPr>
            </w:pPr>
            <w:r>
              <w:rPr>
                <w:rFonts w:hint="eastAsia" w:ascii="宋体" w:hAnsi="宋体" w:cs="宋体"/>
                <w:color w:val="auto"/>
                <w:sz w:val="24"/>
              </w:rPr>
              <w:t>1</w:t>
            </w:r>
            <w:r>
              <w:rPr>
                <w:rFonts w:hint="eastAsia" w:ascii="宋体" w:hAnsi="宋体" w:cs="宋体"/>
                <w:color w:val="auto"/>
                <w:sz w:val="24"/>
                <w:lang w:val="en-US" w:eastAsia="zh-CN"/>
              </w:rPr>
              <w:t>99</w:t>
            </w:r>
          </w:p>
        </w:tc>
        <w:tc>
          <w:tcPr>
            <w:tcW w:w="2228" w:type="dxa"/>
            <w:tcBorders>
              <w:tl2br w:val="nil"/>
              <w:tr2bl w:val="nil"/>
            </w:tcBorders>
            <w:shd w:val="clear" w:color="auto" w:fill="9CC2E5"/>
            <w:vAlign w:val="center"/>
          </w:tcPr>
          <w:p>
            <w:pPr>
              <w:spacing w:line="360" w:lineRule="auto"/>
              <w:jc w:val="center"/>
              <w:rPr>
                <w:rFonts w:ascii="宋体" w:hAnsi="宋体" w:cs="宋体"/>
                <w:sz w:val="24"/>
              </w:rPr>
            </w:pPr>
            <w:r>
              <w:rPr>
                <w:rFonts w:hint="eastAsia" w:ascii="宋体" w:hAnsi="宋体" w:cs="宋体"/>
                <w:sz w:val="24"/>
                <w:lang w:val="en-US" w:eastAsia="zh-CN"/>
              </w:rPr>
              <w:t>29.2</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F1F1F1"/>
            <w:vAlign w:val="center"/>
          </w:tcPr>
          <w:p>
            <w:pPr>
              <w:spacing w:line="360" w:lineRule="auto"/>
              <w:jc w:val="center"/>
              <w:rPr>
                <w:rFonts w:ascii="宋体" w:hAnsi="宋体" w:eastAsia="宋体" w:cs="宋体"/>
                <w:b/>
                <w:bCs/>
                <w:sz w:val="24"/>
              </w:rPr>
            </w:pPr>
            <w:r>
              <w:rPr>
                <w:rFonts w:hint="eastAsia" w:ascii="宋体" w:hAnsi="宋体" w:cs="宋体"/>
                <w:b/>
                <w:bCs/>
                <w:sz w:val="24"/>
              </w:rPr>
              <w:t>平面设计</w:t>
            </w:r>
          </w:p>
        </w:tc>
        <w:tc>
          <w:tcPr>
            <w:tcW w:w="1814" w:type="dxa"/>
            <w:tcBorders>
              <w:tl2br w:val="nil"/>
              <w:tr2bl w:val="nil"/>
            </w:tcBorders>
            <w:shd w:val="clear" w:color="auto" w:fill="F1F1F1"/>
            <w:vAlign w:val="center"/>
          </w:tcPr>
          <w:p>
            <w:pPr>
              <w:spacing w:line="360" w:lineRule="auto"/>
              <w:jc w:val="center"/>
              <w:rPr>
                <w:rFonts w:ascii="宋体" w:hAnsi="宋体" w:cs="宋体" w:eastAsiaTheme="minorEastAsia"/>
                <w:color w:val="auto"/>
                <w:kern w:val="2"/>
                <w:sz w:val="24"/>
                <w:szCs w:val="24"/>
                <w:lang w:val="en-US" w:eastAsia="zh-CN" w:bidi="ar-SA"/>
              </w:rPr>
            </w:pPr>
            <w:r>
              <w:rPr>
                <w:rFonts w:hint="eastAsia" w:ascii="宋体" w:hAnsi="宋体" w:cs="宋体"/>
                <w:color w:val="auto"/>
                <w:sz w:val="24"/>
              </w:rPr>
              <w:t>56</w:t>
            </w:r>
          </w:p>
        </w:tc>
        <w:tc>
          <w:tcPr>
            <w:tcW w:w="1814" w:type="dxa"/>
            <w:tcBorders>
              <w:tl2br w:val="nil"/>
              <w:tr2bl w:val="nil"/>
            </w:tcBorders>
            <w:shd w:val="clear" w:color="auto" w:fill="F1F1F1"/>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lang w:val="en-US" w:eastAsia="zh-CN"/>
              </w:rPr>
              <w:t>109</w:t>
            </w:r>
          </w:p>
        </w:tc>
        <w:tc>
          <w:tcPr>
            <w:tcW w:w="2228" w:type="dxa"/>
            <w:tcBorders>
              <w:tl2br w:val="nil"/>
              <w:tr2bl w:val="nil"/>
            </w:tcBorders>
            <w:shd w:val="clear" w:color="auto" w:fill="F1F1F1"/>
            <w:vAlign w:val="center"/>
          </w:tcPr>
          <w:p>
            <w:pPr>
              <w:spacing w:line="360" w:lineRule="auto"/>
              <w:jc w:val="center"/>
              <w:rPr>
                <w:rFonts w:ascii="宋体" w:hAnsi="宋体" w:eastAsia="宋体" w:cs="宋体"/>
                <w:sz w:val="24"/>
              </w:rPr>
            </w:pPr>
            <w:r>
              <w:rPr>
                <w:rFonts w:hint="eastAsia" w:ascii="宋体" w:hAnsi="宋体" w:cs="宋体"/>
                <w:sz w:val="24"/>
                <w:lang w:val="en-US" w:eastAsia="zh-CN"/>
              </w:rPr>
              <w:t>94.6</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vAlign w:val="center"/>
          </w:tcPr>
          <w:p>
            <w:pPr>
              <w:spacing w:line="360" w:lineRule="auto"/>
              <w:jc w:val="center"/>
              <w:rPr>
                <w:rFonts w:ascii="宋体" w:hAnsi="宋体" w:eastAsia="宋体" w:cs="宋体"/>
                <w:b/>
                <w:bCs/>
                <w:sz w:val="24"/>
              </w:rPr>
            </w:pPr>
            <w:r>
              <w:rPr>
                <w:rFonts w:hint="eastAsia" w:ascii="宋体" w:hAnsi="宋体" w:cs="宋体"/>
                <w:b/>
                <w:bCs/>
                <w:sz w:val="24"/>
              </w:rPr>
              <w:t>旅游服务</w:t>
            </w:r>
          </w:p>
        </w:tc>
        <w:tc>
          <w:tcPr>
            <w:tcW w:w="1814" w:type="dxa"/>
            <w:tcBorders>
              <w:tl2br w:val="nil"/>
              <w:tr2bl w:val="nil"/>
            </w:tcBorders>
            <w:shd w:val="clear" w:color="auto" w:fill="9CC2E5"/>
            <w:vAlign w:val="center"/>
          </w:tcPr>
          <w:p>
            <w:pPr>
              <w:spacing w:line="360" w:lineRule="auto"/>
              <w:jc w:val="center"/>
              <w:rPr>
                <w:rFonts w:ascii="宋体" w:hAnsi="宋体" w:cs="宋体" w:eastAsiaTheme="minorEastAsia"/>
                <w:color w:val="auto"/>
                <w:kern w:val="2"/>
                <w:sz w:val="24"/>
                <w:szCs w:val="24"/>
                <w:lang w:val="en-US" w:eastAsia="zh-CN" w:bidi="ar-SA"/>
              </w:rPr>
            </w:pPr>
            <w:r>
              <w:rPr>
                <w:rFonts w:hint="eastAsia" w:ascii="宋体" w:hAnsi="宋体" w:cs="宋体"/>
                <w:color w:val="auto"/>
                <w:sz w:val="24"/>
              </w:rPr>
              <w:t>36</w:t>
            </w:r>
          </w:p>
        </w:tc>
        <w:tc>
          <w:tcPr>
            <w:tcW w:w="1814" w:type="dxa"/>
            <w:tcBorders>
              <w:tl2br w:val="nil"/>
              <w:tr2bl w:val="nil"/>
            </w:tcBorders>
            <w:shd w:val="clear" w:color="auto" w:fill="9CC2E5"/>
            <w:vAlign w:val="center"/>
          </w:tcPr>
          <w:p>
            <w:pPr>
              <w:spacing w:line="360" w:lineRule="auto"/>
              <w:jc w:val="center"/>
              <w:rPr>
                <w:rFonts w:hint="eastAsia" w:ascii="宋体" w:hAnsi="宋体" w:cs="宋体" w:eastAsiaTheme="minorEastAsia"/>
                <w:color w:val="FF0000"/>
                <w:sz w:val="24"/>
                <w:lang w:eastAsia="zh-CN"/>
              </w:rPr>
            </w:pPr>
            <w:r>
              <w:rPr>
                <w:rFonts w:hint="eastAsia" w:ascii="宋体" w:hAnsi="宋体" w:cs="宋体"/>
                <w:color w:val="auto"/>
                <w:sz w:val="24"/>
              </w:rPr>
              <w:t>3</w:t>
            </w:r>
            <w:r>
              <w:rPr>
                <w:rFonts w:hint="eastAsia" w:ascii="宋体" w:hAnsi="宋体" w:cs="宋体"/>
                <w:color w:val="auto"/>
                <w:sz w:val="24"/>
                <w:lang w:val="en-US" w:eastAsia="zh-CN"/>
              </w:rPr>
              <w:t>2</w:t>
            </w:r>
          </w:p>
        </w:tc>
        <w:tc>
          <w:tcPr>
            <w:tcW w:w="2228" w:type="dxa"/>
            <w:tcBorders>
              <w:tl2br w:val="nil"/>
              <w:tr2bl w:val="nil"/>
            </w:tcBorders>
            <w:shd w:val="clear" w:color="auto" w:fill="9CC2E5"/>
            <w:vAlign w:val="center"/>
          </w:tcPr>
          <w:p>
            <w:pPr>
              <w:spacing w:line="360" w:lineRule="auto"/>
              <w:jc w:val="center"/>
              <w:rPr>
                <w:rFonts w:ascii="宋体" w:hAnsi="宋体" w:eastAsia="宋体" w:cs="宋体"/>
                <w:sz w:val="24"/>
              </w:rPr>
            </w:pPr>
            <w:r>
              <w:rPr>
                <w:rFonts w:hint="eastAsia" w:ascii="宋体" w:hAnsi="宋体" w:cs="宋体"/>
                <w:sz w:val="24"/>
              </w:rPr>
              <w:t>-1</w:t>
            </w:r>
            <w:r>
              <w:rPr>
                <w:rFonts w:hint="eastAsia" w:ascii="宋体" w:hAnsi="宋体" w:cs="宋体"/>
                <w:sz w:val="24"/>
                <w:lang w:val="en-US" w:eastAsia="zh-CN"/>
              </w:rPr>
              <w:t>1.1</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F1F1F1"/>
            <w:vAlign w:val="center"/>
          </w:tcPr>
          <w:p>
            <w:pPr>
              <w:spacing w:line="360" w:lineRule="auto"/>
              <w:jc w:val="center"/>
              <w:rPr>
                <w:rFonts w:ascii="宋体" w:hAnsi="宋体" w:cs="宋体"/>
                <w:b/>
                <w:bCs/>
                <w:sz w:val="24"/>
              </w:rPr>
            </w:pPr>
            <w:r>
              <w:rPr>
                <w:rFonts w:hint="eastAsia" w:ascii="宋体" w:hAnsi="宋体" w:cs="宋体"/>
                <w:b/>
                <w:bCs/>
                <w:sz w:val="24"/>
              </w:rPr>
              <w:t>美容美发</w:t>
            </w:r>
          </w:p>
        </w:tc>
        <w:tc>
          <w:tcPr>
            <w:tcW w:w="1814" w:type="dxa"/>
            <w:tcBorders>
              <w:tl2br w:val="nil"/>
              <w:tr2bl w:val="nil"/>
            </w:tcBorders>
            <w:shd w:val="clear" w:color="auto" w:fill="F1F1F1"/>
            <w:vAlign w:val="center"/>
          </w:tcPr>
          <w:p>
            <w:pPr>
              <w:spacing w:line="360" w:lineRule="auto"/>
              <w:jc w:val="center"/>
              <w:rPr>
                <w:rFonts w:ascii="宋体" w:hAnsi="宋体" w:cs="宋体" w:eastAsiaTheme="minorEastAsia"/>
                <w:kern w:val="2"/>
                <w:sz w:val="24"/>
                <w:szCs w:val="24"/>
                <w:lang w:val="en-US" w:eastAsia="zh-CN" w:bidi="ar-SA"/>
              </w:rPr>
            </w:pPr>
            <w:r>
              <w:rPr>
                <w:rFonts w:hint="eastAsia" w:ascii="宋体" w:hAnsi="宋体" w:cs="宋体"/>
                <w:sz w:val="24"/>
              </w:rPr>
              <w:t>53</w:t>
            </w:r>
          </w:p>
        </w:tc>
        <w:tc>
          <w:tcPr>
            <w:tcW w:w="1814" w:type="dxa"/>
            <w:tcBorders>
              <w:tl2br w:val="nil"/>
              <w:tr2bl w:val="nil"/>
            </w:tcBorders>
            <w:shd w:val="clear" w:color="auto" w:fill="F1F1F1"/>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lang w:val="en-US" w:eastAsia="zh-CN"/>
              </w:rPr>
              <w:t>149</w:t>
            </w:r>
          </w:p>
        </w:tc>
        <w:tc>
          <w:tcPr>
            <w:tcW w:w="2228" w:type="dxa"/>
            <w:tcBorders>
              <w:tl2br w:val="nil"/>
              <w:tr2bl w:val="nil"/>
            </w:tcBorders>
            <w:shd w:val="clear" w:color="auto" w:fill="F1F1F1"/>
            <w:vAlign w:val="center"/>
          </w:tcPr>
          <w:p>
            <w:pPr>
              <w:spacing w:line="360" w:lineRule="auto"/>
              <w:jc w:val="center"/>
              <w:rPr>
                <w:rFonts w:ascii="宋体" w:hAnsi="宋体" w:eastAsia="宋体" w:cs="宋体"/>
                <w:sz w:val="24"/>
              </w:rPr>
            </w:pPr>
            <w:r>
              <w:rPr>
                <w:rFonts w:hint="eastAsia" w:ascii="宋体" w:hAnsi="宋体" w:cs="宋体"/>
                <w:sz w:val="24"/>
              </w:rPr>
              <w:t>1</w:t>
            </w:r>
            <w:r>
              <w:rPr>
                <w:rFonts w:hint="eastAsia" w:ascii="宋体" w:hAnsi="宋体" w:cs="宋体"/>
                <w:sz w:val="24"/>
                <w:lang w:val="en-US" w:eastAsia="zh-CN"/>
              </w:rPr>
              <w:t>81</w:t>
            </w:r>
            <w:r>
              <w:rPr>
                <w:rFonts w:hint="eastAsia" w:ascii="宋体" w:hAnsi="宋体" w:cs="宋体"/>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71" w:hRule="atLeast"/>
          <w:jc w:val="center"/>
        </w:trPr>
        <w:tc>
          <w:tcPr>
            <w:tcW w:w="2319" w:type="dxa"/>
            <w:tcBorders>
              <w:tl2br w:val="nil"/>
              <w:tr2bl w:val="nil"/>
            </w:tcBorders>
            <w:shd w:val="clear" w:color="auto" w:fill="9CC2E5" w:themeFill="accent1" w:themeFillTint="99"/>
            <w:vAlign w:val="center"/>
          </w:tcPr>
          <w:p>
            <w:pPr>
              <w:spacing w:line="360" w:lineRule="auto"/>
              <w:jc w:val="center"/>
              <w:rPr>
                <w:rFonts w:hint="eastAsia" w:ascii="宋体" w:hAnsi="宋体" w:cs="宋体" w:eastAsiaTheme="minorEastAsia"/>
                <w:b/>
                <w:bCs/>
                <w:sz w:val="24"/>
                <w:lang w:eastAsia="zh-CN"/>
              </w:rPr>
            </w:pPr>
            <w:r>
              <w:rPr>
                <w:rFonts w:hint="eastAsia" w:ascii="宋体" w:hAnsi="宋体" w:cs="宋体"/>
                <w:b/>
                <w:bCs/>
                <w:sz w:val="24"/>
                <w:lang w:eastAsia="zh-CN"/>
              </w:rPr>
              <w:t>健康服务与管理</w:t>
            </w:r>
          </w:p>
        </w:tc>
        <w:tc>
          <w:tcPr>
            <w:tcW w:w="1814" w:type="dxa"/>
            <w:tcBorders>
              <w:tl2br w:val="nil"/>
              <w:tr2bl w:val="nil"/>
            </w:tcBorders>
            <w:shd w:val="clear" w:color="auto" w:fill="9CC2E5" w:themeFill="accent1" w:themeFillTint="99"/>
            <w:vAlign w:val="center"/>
          </w:tcPr>
          <w:p>
            <w:pPr>
              <w:spacing w:line="360" w:lineRule="auto"/>
              <w:jc w:val="center"/>
              <w:rPr>
                <w:rFonts w:hint="eastAsia" w:ascii="宋体" w:hAnsi="宋体" w:cs="宋体" w:eastAsiaTheme="minorEastAsia"/>
                <w:sz w:val="24"/>
                <w:lang w:val="en-US" w:eastAsia="zh-CN"/>
              </w:rPr>
            </w:pPr>
            <w:r>
              <w:rPr>
                <w:rFonts w:hint="eastAsia" w:ascii="宋体" w:hAnsi="宋体" w:cs="宋体"/>
                <w:sz w:val="24"/>
                <w:lang w:val="en-US" w:eastAsia="zh-CN"/>
              </w:rPr>
              <w:t>0</w:t>
            </w:r>
          </w:p>
        </w:tc>
        <w:tc>
          <w:tcPr>
            <w:tcW w:w="1814" w:type="dxa"/>
            <w:tcBorders>
              <w:tl2br w:val="nil"/>
              <w:tr2bl w:val="nil"/>
            </w:tcBorders>
            <w:shd w:val="clear" w:color="auto" w:fill="9CC2E5" w:themeFill="accent1" w:themeFillTint="99"/>
            <w:vAlign w:val="center"/>
          </w:tcPr>
          <w:p>
            <w:pPr>
              <w:spacing w:line="360" w:lineRule="auto"/>
              <w:jc w:val="center"/>
              <w:rPr>
                <w:rFonts w:hint="default" w:ascii="宋体" w:hAnsi="宋体" w:cs="宋体"/>
                <w:sz w:val="24"/>
                <w:lang w:val="en-US" w:eastAsia="zh-CN"/>
              </w:rPr>
            </w:pPr>
            <w:r>
              <w:rPr>
                <w:rFonts w:hint="eastAsia" w:ascii="宋体" w:hAnsi="宋体" w:cs="宋体"/>
                <w:sz w:val="24"/>
                <w:lang w:val="en-US" w:eastAsia="zh-CN"/>
              </w:rPr>
              <w:t>133</w:t>
            </w:r>
          </w:p>
        </w:tc>
        <w:tc>
          <w:tcPr>
            <w:tcW w:w="2228" w:type="dxa"/>
            <w:tcBorders>
              <w:tl2br w:val="nil"/>
              <w:tr2bl w:val="nil"/>
            </w:tcBorders>
            <w:shd w:val="clear" w:color="auto" w:fill="9CC2E5" w:themeFill="accent1" w:themeFillTint="99"/>
            <w:vAlign w:val="center"/>
          </w:tcPr>
          <w:p>
            <w:pPr>
              <w:spacing w:line="360" w:lineRule="auto"/>
              <w:jc w:val="center"/>
              <w:rPr>
                <w:rFonts w:hint="default" w:ascii="宋体" w:hAnsi="宋体" w:cs="宋体" w:eastAsiaTheme="minorEastAsia"/>
                <w:sz w:val="24"/>
                <w:lang w:val="en-US" w:eastAsia="zh-CN"/>
              </w:rPr>
            </w:pPr>
            <w:r>
              <w:rPr>
                <w:rFonts w:hint="eastAsia" w:ascii="宋体" w:hAnsi="宋体" w:cs="宋体"/>
                <w:sz w:val="24"/>
                <w:lang w:val="en-US" w:eastAsia="zh-CN"/>
              </w:rPr>
              <w:t>100</w:t>
            </w:r>
            <w:r>
              <w:rPr>
                <w:rFonts w:hint="eastAsia" w:ascii="宋体" w:hAnsi="宋体" w:cs="宋体"/>
                <w:sz w:val="24"/>
              </w:rPr>
              <w:t>%</w:t>
            </w:r>
          </w:p>
        </w:tc>
      </w:tr>
    </w:tbl>
    <w:p>
      <w:pPr>
        <w:spacing w:line="500" w:lineRule="exact"/>
        <w:ind w:firstLine="643"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b/>
          <w:bCs/>
          <w:color w:val="auto"/>
          <w:sz w:val="32"/>
          <w:szCs w:val="32"/>
        </w:rPr>
        <w:t>二是男女结构。</w:t>
      </w:r>
      <w:r>
        <w:rPr>
          <w:rFonts w:hint="eastAsia" w:ascii="仿宋_GB2312" w:hAnsi="仿宋_GB2312" w:eastAsia="仿宋_GB2312" w:cs="仿宋_GB2312"/>
          <w:sz w:val="32"/>
          <w:szCs w:val="32"/>
          <w:shd w:val="clear" w:color="auto" w:fill="FDFDFC"/>
        </w:rPr>
        <w:t>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年，学校在校男生2</w:t>
      </w:r>
      <w:r>
        <w:rPr>
          <w:rFonts w:hint="eastAsia" w:ascii="仿宋_GB2312" w:hAnsi="仿宋_GB2312" w:eastAsia="仿宋_GB2312" w:cs="仿宋_GB2312"/>
          <w:sz w:val="32"/>
          <w:szCs w:val="32"/>
          <w:shd w:val="clear" w:color="auto" w:fill="FDFDFC"/>
          <w:lang w:val="en-US" w:eastAsia="zh-CN"/>
        </w:rPr>
        <w:t>204</w:t>
      </w:r>
      <w:r>
        <w:rPr>
          <w:rFonts w:hint="eastAsia" w:ascii="仿宋_GB2312" w:hAnsi="仿宋_GB2312" w:eastAsia="仿宋_GB2312" w:cs="仿宋_GB2312"/>
          <w:sz w:val="32"/>
          <w:szCs w:val="32"/>
          <w:shd w:val="clear" w:color="auto" w:fill="FDFDFC"/>
        </w:rPr>
        <w:t>人，占5</w:t>
      </w:r>
      <w:r>
        <w:rPr>
          <w:rFonts w:hint="eastAsia" w:ascii="仿宋_GB2312" w:hAnsi="仿宋_GB2312" w:eastAsia="仿宋_GB2312" w:cs="仿宋_GB2312"/>
          <w:sz w:val="32"/>
          <w:szCs w:val="32"/>
          <w:shd w:val="clear" w:color="auto" w:fill="FDFDFC"/>
          <w:lang w:val="en-US" w:eastAsia="zh-CN"/>
        </w:rPr>
        <w:t>5</w:t>
      </w:r>
      <w:r>
        <w:rPr>
          <w:rFonts w:hint="eastAsia" w:ascii="仿宋_GB2312" w:hAnsi="仿宋_GB2312" w:eastAsia="仿宋_GB2312" w:cs="仿宋_GB2312"/>
          <w:sz w:val="32"/>
          <w:szCs w:val="32"/>
          <w:shd w:val="clear" w:color="auto" w:fill="FDFDFC"/>
        </w:rPr>
        <w:t>.3%，女生1</w:t>
      </w:r>
      <w:r>
        <w:rPr>
          <w:rFonts w:hint="eastAsia" w:ascii="仿宋_GB2312" w:hAnsi="仿宋_GB2312" w:eastAsia="仿宋_GB2312" w:cs="仿宋_GB2312"/>
          <w:sz w:val="32"/>
          <w:szCs w:val="32"/>
          <w:shd w:val="clear" w:color="auto" w:fill="FDFDFC"/>
          <w:lang w:val="en-US" w:eastAsia="zh-CN"/>
        </w:rPr>
        <w:t>789</w:t>
      </w:r>
      <w:r>
        <w:rPr>
          <w:rFonts w:hint="eastAsia" w:ascii="仿宋_GB2312" w:hAnsi="仿宋_GB2312" w:eastAsia="仿宋_GB2312" w:cs="仿宋_GB2312"/>
          <w:sz w:val="32"/>
          <w:szCs w:val="32"/>
          <w:shd w:val="clear" w:color="auto" w:fill="FDFDFC"/>
        </w:rPr>
        <w:t>人，占4</w:t>
      </w:r>
      <w:r>
        <w:rPr>
          <w:rFonts w:hint="eastAsia" w:ascii="仿宋_GB2312" w:hAnsi="仿宋_GB2312" w:eastAsia="仿宋_GB2312" w:cs="仿宋_GB2312"/>
          <w:sz w:val="32"/>
          <w:szCs w:val="32"/>
          <w:shd w:val="clear" w:color="auto" w:fill="FDFDFC"/>
          <w:lang w:val="en-US" w:eastAsia="zh-CN"/>
        </w:rPr>
        <w:t>4</w:t>
      </w:r>
      <w:r>
        <w:rPr>
          <w:rFonts w:hint="eastAsia" w:ascii="仿宋_GB2312" w:hAnsi="仿宋_GB2312" w:eastAsia="仿宋_GB2312" w:cs="仿宋_GB2312"/>
          <w:sz w:val="32"/>
          <w:szCs w:val="32"/>
          <w:shd w:val="clear" w:color="auto" w:fill="FDFDFC"/>
        </w:rPr>
        <w:t>.</w:t>
      </w:r>
      <w:r>
        <w:rPr>
          <w:rFonts w:hint="eastAsia" w:ascii="仿宋_GB2312" w:hAnsi="仿宋_GB2312" w:eastAsia="仿宋_GB2312" w:cs="仿宋_GB2312"/>
          <w:sz w:val="32"/>
          <w:szCs w:val="32"/>
          <w:shd w:val="clear" w:color="auto" w:fill="FDFDFC"/>
          <w:lang w:val="en-US" w:eastAsia="zh-CN"/>
        </w:rPr>
        <w:t>7</w:t>
      </w:r>
      <w:r>
        <w:rPr>
          <w:rFonts w:hint="eastAsia" w:ascii="仿宋_GB2312" w:hAnsi="仿宋_GB2312" w:eastAsia="仿宋_GB2312" w:cs="仿宋_GB2312"/>
          <w:sz w:val="32"/>
          <w:szCs w:val="32"/>
          <w:shd w:val="clear" w:color="auto" w:fill="FDFDFC"/>
        </w:rPr>
        <w:t>%；男生占比略高于女生。</w:t>
      </w:r>
    </w:p>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表3：男女比例结构表</w:t>
      </w:r>
    </w:p>
    <w:tbl>
      <w:tblPr>
        <w:tblStyle w:val="1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1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年份</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360" w:lineRule="auto"/>
              <w:jc w:val="center"/>
              <w:rPr>
                <w:rFonts w:hint="eastAsia" w:asciiTheme="minorEastAsia" w:hAnsiTheme="minorEastAsia" w:eastAsiaTheme="minorEastAsia" w:cstheme="minorEastAsia"/>
                <w:b/>
                <w:bCs/>
                <w:kern w:val="2"/>
                <w:sz w:val="24"/>
                <w:szCs w:val="24"/>
                <w:lang w:val="en-US" w:eastAsia="zh-CN" w:bidi="ar-SA"/>
              </w:rPr>
            </w:pPr>
            <w:r>
              <w:rPr>
                <w:rFonts w:hint="eastAsia" w:ascii="宋体" w:hAnsi="宋体" w:cs="宋体"/>
                <w:b/>
                <w:bCs/>
                <w:sz w:val="24"/>
              </w:rPr>
              <w:t>2019</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360" w:lineRule="auto"/>
              <w:jc w:val="center"/>
              <w:rPr>
                <w:rFonts w:hint="default" w:asciiTheme="minorEastAsia" w:hAnsiTheme="minorEastAsia" w:eastAsiaTheme="minorEastAsia" w:cstheme="minorEastAsia"/>
                <w:b/>
                <w:bCs/>
                <w:sz w:val="24"/>
                <w:lang w:val="en-US" w:eastAsia="zh-CN"/>
              </w:rPr>
            </w:pPr>
            <w:r>
              <w:rPr>
                <w:rFonts w:hint="eastAsia" w:ascii="宋体" w:hAnsi="宋体" w:cs="宋体"/>
                <w:b/>
                <w:bCs/>
                <w:sz w:val="24"/>
              </w:rPr>
              <w:t>20</w:t>
            </w:r>
            <w:r>
              <w:rPr>
                <w:rFonts w:hint="eastAsia" w:ascii="宋体" w:hAnsi="宋体" w:cs="宋体"/>
                <w:b/>
                <w:bCs/>
                <w:sz w:val="24"/>
                <w:lang w:val="en-US" w:eastAsia="zh-CN"/>
              </w:rPr>
              <w:t>20</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360" w:lineRule="auto"/>
              <w:jc w:val="center"/>
              <w:rPr>
                <w:rFonts w:asciiTheme="minorEastAsia" w:hAnsiTheme="minorEastAsia" w:cstheme="minorEastAsia"/>
                <w:b/>
                <w:bCs/>
                <w:sz w:val="24"/>
              </w:rPr>
            </w:pPr>
            <w:r>
              <w:rPr>
                <w:rFonts w:hint="eastAsia" w:ascii="宋体" w:hAnsi="宋体" w:cs="宋体"/>
                <w:b/>
                <w:bCs/>
                <w:sz w:val="24"/>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男</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cs="宋体"/>
                <w:sz w:val="24"/>
              </w:rPr>
              <w:t>2181</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hint="default" w:asciiTheme="minorEastAsia" w:hAnsiTheme="minorEastAsia" w:eastAsiaTheme="minorEastAsia" w:cstheme="minorEastAsia"/>
                <w:color w:val="auto"/>
                <w:sz w:val="24"/>
                <w:lang w:val="en-US" w:eastAsia="zh-CN"/>
              </w:rPr>
            </w:pPr>
            <w:r>
              <w:rPr>
                <w:rFonts w:hint="eastAsia" w:ascii="宋体" w:hAnsi="宋体" w:cs="宋体"/>
                <w:color w:val="auto"/>
                <w:sz w:val="24"/>
              </w:rPr>
              <w:t>2</w:t>
            </w:r>
            <w:r>
              <w:rPr>
                <w:rFonts w:hint="eastAsia" w:ascii="宋体" w:hAnsi="宋体" w:cs="宋体"/>
                <w:color w:val="auto"/>
                <w:sz w:val="24"/>
                <w:lang w:val="en-US" w:eastAsia="zh-CN"/>
              </w:rPr>
              <w:t>204</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asciiTheme="minorEastAsia" w:hAnsiTheme="minorEastAsia" w:cstheme="minorEastAsia"/>
                <w:color w:val="auto"/>
                <w:sz w:val="24"/>
              </w:rPr>
            </w:pPr>
            <w:r>
              <w:rPr>
                <w:rFonts w:hint="eastAsia" w:ascii="宋体" w:hAnsi="宋体" w:cs="宋体"/>
                <w:color w:val="auto"/>
                <w:sz w:val="24"/>
              </w:rPr>
              <w:t>1.</w:t>
            </w:r>
            <w:r>
              <w:rPr>
                <w:rFonts w:hint="eastAsia" w:ascii="宋体" w:hAnsi="宋体" w:cs="宋体"/>
                <w:color w:val="auto"/>
                <w:sz w:val="24"/>
                <w:lang w:val="en-US" w:eastAsia="zh-CN"/>
              </w:rPr>
              <w:t>07</w:t>
            </w:r>
            <w:r>
              <w:rPr>
                <w:rFonts w:hint="eastAsia" w:ascii="宋体" w:hAnsi="宋体" w:cs="宋体"/>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女</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spacing w:line="360" w:lineRule="auto"/>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cs="宋体"/>
                <w:sz w:val="24"/>
              </w:rPr>
              <w:t>1613</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spacing w:line="360" w:lineRule="auto"/>
              <w:jc w:val="center"/>
              <w:rPr>
                <w:rFonts w:hint="default" w:asciiTheme="minorEastAsia" w:hAnsiTheme="minorEastAsia" w:eastAsiaTheme="minorEastAsia" w:cstheme="minorEastAsia"/>
                <w:color w:val="auto"/>
                <w:sz w:val="24"/>
                <w:lang w:val="en-US" w:eastAsia="zh-CN"/>
              </w:rPr>
            </w:pPr>
            <w:r>
              <w:rPr>
                <w:rFonts w:hint="eastAsia" w:ascii="宋体" w:hAnsi="宋体" w:cs="宋体"/>
                <w:color w:val="auto"/>
                <w:sz w:val="24"/>
              </w:rPr>
              <w:t>1</w:t>
            </w:r>
            <w:r>
              <w:rPr>
                <w:rFonts w:hint="eastAsia" w:ascii="宋体" w:hAnsi="宋体" w:cs="宋体"/>
                <w:color w:val="auto"/>
                <w:sz w:val="24"/>
                <w:lang w:val="en-US" w:eastAsia="zh-CN"/>
              </w:rPr>
              <w:t>779</w:t>
            </w:r>
          </w:p>
        </w:tc>
        <w:tc>
          <w:tcPr>
            <w:tcW w:w="213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spacing w:line="360" w:lineRule="auto"/>
              <w:jc w:val="center"/>
              <w:rPr>
                <w:rFonts w:asciiTheme="minorEastAsia" w:hAnsiTheme="minorEastAsia" w:cstheme="minorEastAsia"/>
                <w:color w:val="auto"/>
                <w:sz w:val="24"/>
              </w:rPr>
            </w:pPr>
            <w:r>
              <w:rPr>
                <w:rFonts w:hint="eastAsia" w:ascii="宋体" w:hAnsi="宋体" w:cs="宋体"/>
                <w:color w:val="auto"/>
                <w:sz w:val="24"/>
                <w:lang w:val="en-US" w:eastAsia="zh-CN"/>
              </w:rPr>
              <w:t>10</w:t>
            </w:r>
            <w:r>
              <w:rPr>
                <w:rFonts w:hint="eastAsia" w:ascii="宋体" w:hAnsi="宋体" w:cs="宋体"/>
                <w:color w:val="auto"/>
                <w:sz w:val="24"/>
              </w:rPr>
              <w:t>.</w:t>
            </w:r>
            <w:r>
              <w:rPr>
                <w:rFonts w:hint="eastAsia" w:ascii="宋体" w:hAnsi="宋体" w:cs="宋体"/>
                <w:color w:val="auto"/>
                <w:sz w:val="24"/>
                <w:lang w:val="en-US" w:eastAsia="zh-CN"/>
              </w:rPr>
              <w:t>9</w:t>
            </w:r>
            <w:r>
              <w:rPr>
                <w:rFonts w:hint="eastAsia" w:ascii="宋体" w:hAnsi="宋体" w:cs="宋体"/>
                <w:color w:val="auto"/>
                <w:sz w:val="24"/>
              </w:rPr>
              <w:t>%</w:t>
            </w:r>
          </w:p>
        </w:tc>
      </w:tr>
    </w:tbl>
    <w:p>
      <w:pPr>
        <w:spacing w:line="5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三是来源结构。</w:t>
      </w:r>
      <w:r>
        <w:rPr>
          <w:rFonts w:hint="eastAsia" w:ascii="仿宋_GB2312" w:hAnsi="仿宋_GB2312" w:eastAsia="仿宋_GB2312" w:cs="仿宋_GB2312"/>
          <w:sz w:val="32"/>
          <w:szCs w:val="32"/>
          <w:shd w:val="clear" w:color="auto" w:fill="FDFDFC"/>
        </w:rPr>
        <w:t>我校生源大多数来源于农村，农村户籍生源占总比例的9</w:t>
      </w:r>
      <w:r>
        <w:rPr>
          <w:rFonts w:hint="eastAsia" w:ascii="仿宋_GB2312" w:hAnsi="仿宋_GB2312" w:eastAsia="仿宋_GB2312" w:cs="仿宋_GB2312"/>
          <w:sz w:val="32"/>
          <w:szCs w:val="32"/>
          <w:shd w:val="clear" w:color="auto" w:fill="FDFDFC"/>
          <w:lang w:val="en-US" w:eastAsia="zh-CN"/>
        </w:rPr>
        <w:t>3</w:t>
      </w:r>
      <w:r>
        <w:rPr>
          <w:rFonts w:hint="eastAsia" w:ascii="仿宋_GB2312" w:hAnsi="仿宋_GB2312" w:eastAsia="仿宋_GB2312" w:cs="仿宋_GB2312"/>
          <w:sz w:val="32"/>
          <w:szCs w:val="32"/>
          <w:shd w:val="clear" w:color="auto" w:fill="FDFDFC"/>
        </w:rPr>
        <w:t>.</w:t>
      </w:r>
      <w:r>
        <w:rPr>
          <w:rFonts w:hint="eastAsia" w:ascii="仿宋_GB2312" w:hAnsi="仿宋_GB2312" w:eastAsia="仿宋_GB2312" w:cs="仿宋_GB2312"/>
          <w:sz w:val="32"/>
          <w:szCs w:val="32"/>
          <w:shd w:val="clear" w:color="auto" w:fill="FDFDFC"/>
          <w:lang w:val="en-US" w:eastAsia="zh-CN"/>
        </w:rPr>
        <w:t>7</w:t>
      </w:r>
      <w:r>
        <w:rPr>
          <w:rFonts w:hint="eastAsia" w:ascii="仿宋_GB2312" w:hAnsi="仿宋_GB2312" w:eastAsia="仿宋_GB2312" w:cs="仿宋_GB2312"/>
          <w:sz w:val="32"/>
          <w:szCs w:val="32"/>
          <w:shd w:val="clear" w:color="auto" w:fill="FDFDFC"/>
        </w:rPr>
        <w:t>%。其中2018级农村户籍学生占该年级比例为94.6%，2019级所占比例为94.2%</w:t>
      </w:r>
      <w:r>
        <w:rPr>
          <w:rFonts w:hint="eastAsia" w:ascii="仿宋_GB2312" w:hAnsi="仿宋_GB2312" w:eastAsia="仿宋_GB2312" w:cs="仿宋_GB2312"/>
          <w:sz w:val="32"/>
          <w:szCs w:val="32"/>
          <w:shd w:val="clear" w:color="auto" w:fill="FDFDFC"/>
          <w:lang w:eastAsia="zh-CN"/>
        </w:rPr>
        <w:t>，</w:t>
      </w:r>
      <w:r>
        <w:rPr>
          <w:rFonts w:hint="eastAsia" w:ascii="仿宋_GB2312" w:hAnsi="仿宋_GB2312" w:eastAsia="仿宋_GB2312" w:cs="仿宋_GB2312"/>
          <w:sz w:val="32"/>
          <w:szCs w:val="32"/>
          <w:shd w:val="clear" w:color="auto" w:fill="FDFDFC"/>
          <w:lang w:val="en-US" w:eastAsia="zh-CN"/>
        </w:rPr>
        <w:t>2020级所占比例为</w:t>
      </w:r>
      <w:r>
        <w:rPr>
          <w:rFonts w:hint="eastAsia" w:ascii="仿宋_GB2312" w:hAnsi="仿宋_GB2312" w:eastAsia="仿宋_GB2312" w:cs="仿宋_GB2312"/>
          <w:sz w:val="32"/>
          <w:szCs w:val="32"/>
          <w:shd w:val="clear" w:color="auto" w:fill="FDFDFC"/>
        </w:rPr>
        <w:t>9</w:t>
      </w:r>
      <w:r>
        <w:rPr>
          <w:rFonts w:hint="eastAsia" w:ascii="仿宋_GB2312" w:hAnsi="仿宋_GB2312" w:eastAsia="仿宋_GB2312" w:cs="仿宋_GB2312"/>
          <w:sz w:val="32"/>
          <w:szCs w:val="32"/>
          <w:shd w:val="clear" w:color="auto" w:fill="FDFDFC"/>
          <w:lang w:val="en-US" w:eastAsia="zh-CN"/>
        </w:rPr>
        <w:t>3</w:t>
      </w:r>
      <w:r>
        <w:rPr>
          <w:rFonts w:hint="eastAsia" w:ascii="仿宋_GB2312" w:hAnsi="仿宋_GB2312" w:eastAsia="仿宋_GB2312" w:cs="仿宋_GB2312"/>
          <w:sz w:val="32"/>
          <w:szCs w:val="32"/>
          <w:shd w:val="clear" w:color="auto" w:fill="FDFDFC"/>
        </w:rPr>
        <w:t>.</w:t>
      </w:r>
      <w:r>
        <w:rPr>
          <w:rFonts w:hint="eastAsia" w:ascii="仿宋_GB2312" w:hAnsi="仿宋_GB2312" w:eastAsia="仿宋_GB2312" w:cs="仿宋_GB2312"/>
          <w:sz w:val="32"/>
          <w:szCs w:val="32"/>
          <w:shd w:val="clear" w:color="auto" w:fill="FDFDFC"/>
          <w:lang w:val="en-US" w:eastAsia="zh-CN"/>
        </w:rPr>
        <w:t>7</w:t>
      </w:r>
      <w:r>
        <w:rPr>
          <w:rFonts w:hint="eastAsia" w:ascii="仿宋_GB2312" w:hAnsi="仿宋_GB2312" w:eastAsia="仿宋_GB2312" w:cs="仿宋_GB2312"/>
          <w:sz w:val="32"/>
          <w:szCs w:val="32"/>
          <w:shd w:val="clear" w:color="auto" w:fill="FDFDFC"/>
        </w:rPr>
        <w:t>%。反映出农村家庭生源对我校的认可度较高。</w:t>
      </w:r>
    </w:p>
    <w:p>
      <w:pPr>
        <w:spacing w:line="360" w:lineRule="auto"/>
        <w:jc w:val="center"/>
        <w:rPr>
          <w:rFonts w:ascii="仿宋_GB2312" w:hAnsi="仿宋_GB2312" w:eastAsia="仿宋_GB2312" w:cs="仿宋_GB2312"/>
          <w:b/>
          <w:bCs/>
          <w:sz w:val="24"/>
        </w:rPr>
      </w:pPr>
      <w:r>
        <w:rPr>
          <w:rFonts w:hint="eastAsia" w:asciiTheme="minorEastAsia" w:hAnsiTheme="minorEastAsia" w:cstheme="minorEastAsia"/>
          <w:b/>
          <w:bCs/>
          <w:sz w:val="24"/>
        </w:rPr>
        <w:t>表4：生源结构对比表</w:t>
      </w:r>
    </w:p>
    <w:tbl>
      <w:tblPr>
        <w:tblStyle w:val="13"/>
        <w:tblW w:w="7596" w:type="dxa"/>
        <w:tblInd w:w="30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34"/>
        <w:gridCol w:w="2398"/>
        <w:gridCol w:w="25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26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年级</w:t>
            </w:r>
          </w:p>
        </w:tc>
        <w:tc>
          <w:tcPr>
            <w:tcW w:w="239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农村</w:t>
            </w:r>
          </w:p>
        </w:tc>
        <w:tc>
          <w:tcPr>
            <w:tcW w:w="256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spacing w:line="360" w:lineRule="auto"/>
              <w:jc w:val="center"/>
              <w:rPr>
                <w:rFonts w:asciiTheme="minorEastAsia" w:hAnsiTheme="minorEastAsia" w:cstheme="minorEastAsia"/>
                <w:b/>
                <w:bCs/>
                <w:sz w:val="24"/>
              </w:rPr>
            </w:pPr>
            <w:r>
              <w:rPr>
                <w:rFonts w:hint="eastAsia" w:asciiTheme="minorEastAsia" w:hAnsiTheme="minorEastAsia" w:cstheme="minorEastAsia"/>
                <w:b/>
                <w:bCs/>
                <w:sz w:val="24"/>
              </w:rPr>
              <w:t>城镇</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asciiTheme="minorEastAsia" w:hAnsiTheme="minorEastAsia" w:eastAsiaTheme="minorEastAsia" w:cstheme="minorEastAsia"/>
                <w:b/>
                <w:bCs/>
                <w:kern w:val="2"/>
                <w:sz w:val="24"/>
                <w:szCs w:val="24"/>
                <w:lang w:val="en-US" w:eastAsia="zh-CN" w:bidi="ar-SA"/>
              </w:rPr>
            </w:pPr>
            <w:r>
              <w:rPr>
                <w:rFonts w:hint="eastAsia" w:asciiTheme="minorEastAsia" w:hAnsiTheme="minorEastAsia" w:cstheme="minorEastAsia"/>
                <w:b/>
                <w:bCs/>
                <w:sz w:val="24"/>
              </w:rPr>
              <w:t>2018</w:t>
            </w:r>
          </w:p>
        </w:tc>
        <w:tc>
          <w:tcPr>
            <w:tcW w:w="239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宋体" w:hAnsi="宋体" w:cs="宋体"/>
                <w:sz w:val="24"/>
              </w:rPr>
              <w:t>94.6%</w:t>
            </w:r>
          </w:p>
        </w:tc>
        <w:tc>
          <w:tcPr>
            <w:tcW w:w="256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宋体" w:hAnsi="宋体" w:cs="宋体"/>
                <w:sz w:val="24"/>
              </w:rPr>
              <w:t>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spacing w:line="360" w:lineRule="auto"/>
              <w:jc w:val="center"/>
              <w:rPr>
                <w:rFonts w:asciiTheme="minorEastAsia" w:hAnsiTheme="minorEastAsia" w:eastAsiaTheme="minorEastAsia" w:cstheme="minorEastAsia"/>
                <w:b/>
                <w:bCs/>
                <w:kern w:val="2"/>
                <w:sz w:val="24"/>
                <w:szCs w:val="24"/>
                <w:lang w:val="en-US" w:eastAsia="zh-CN" w:bidi="ar-SA"/>
              </w:rPr>
            </w:pPr>
            <w:r>
              <w:rPr>
                <w:rFonts w:hint="eastAsia" w:asciiTheme="minorEastAsia" w:hAnsiTheme="minorEastAsia" w:cstheme="minorEastAsia"/>
                <w:b/>
                <w:bCs/>
                <w:sz w:val="24"/>
              </w:rPr>
              <w:t>2019</w:t>
            </w:r>
          </w:p>
        </w:tc>
        <w:tc>
          <w:tcPr>
            <w:tcW w:w="239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宋体" w:hAnsi="宋体" w:cs="宋体"/>
                <w:sz w:val="24"/>
              </w:rPr>
              <w:t>94.2%</w:t>
            </w:r>
          </w:p>
        </w:tc>
        <w:tc>
          <w:tcPr>
            <w:tcW w:w="256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spacing w:line="360" w:lineRule="auto"/>
              <w:jc w:val="center"/>
              <w:rPr>
                <w:rFonts w:asciiTheme="minorEastAsia" w:hAnsiTheme="minorEastAsia" w:eastAsiaTheme="minorEastAsia" w:cstheme="minorEastAsia"/>
                <w:kern w:val="2"/>
                <w:sz w:val="24"/>
                <w:szCs w:val="24"/>
                <w:lang w:val="en-US" w:eastAsia="zh-CN" w:bidi="ar-SA"/>
              </w:rPr>
            </w:pPr>
            <w:r>
              <w:rPr>
                <w:rFonts w:hint="eastAsia" w:ascii="宋体" w:hAnsi="宋体" w:cs="宋体"/>
                <w:sz w:val="24"/>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6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hint="default" w:asciiTheme="minorEastAsia" w:hAnsiTheme="minorEastAsia" w:eastAsiaTheme="minorEastAsia" w:cstheme="minorEastAsia"/>
                <w:b/>
                <w:bCs/>
                <w:sz w:val="24"/>
                <w:lang w:val="en-US" w:eastAsia="zh-CN"/>
              </w:rPr>
            </w:pPr>
            <w:r>
              <w:rPr>
                <w:rFonts w:hint="eastAsia" w:asciiTheme="minorEastAsia" w:hAnsiTheme="minorEastAsia" w:cstheme="minorEastAsia"/>
                <w:b/>
                <w:bCs/>
                <w:sz w:val="24"/>
                <w:lang w:val="en-US" w:eastAsia="zh-CN"/>
              </w:rPr>
              <w:t>2020</w:t>
            </w:r>
          </w:p>
        </w:tc>
        <w:tc>
          <w:tcPr>
            <w:tcW w:w="239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asciiTheme="minorEastAsia" w:hAnsiTheme="minorEastAsia" w:cstheme="minorEastAsia"/>
                <w:sz w:val="24"/>
              </w:rPr>
            </w:pPr>
            <w:r>
              <w:rPr>
                <w:rFonts w:hint="eastAsia" w:ascii="宋体" w:hAnsi="宋体" w:cs="宋体"/>
                <w:sz w:val="24"/>
              </w:rPr>
              <w:t>9</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7</w:t>
            </w:r>
            <w:r>
              <w:rPr>
                <w:rFonts w:hint="eastAsia" w:ascii="宋体" w:hAnsi="宋体" w:cs="宋体"/>
                <w:sz w:val="24"/>
              </w:rPr>
              <w:t>%</w:t>
            </w:r>
          </w:p>
        </w:tc>
        <w:tc>
          <w:tcPr>
            <w:tcW w:w="256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spacing w:line="360" w:lineRule="auto"/>
              <w:jc w:val="center"/>
              <w:rPr>
                <w:rFonts w:asciiTheme="minorEastAsia" w:hAnsiTheme="minorEastAsia" w:cstheme="minorEastAsia"/>
                <w:sz w:val="24"/>
              </w:rPr>
            </w:pP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w:t>
            </w:r>
          </w:p>
        </w:tc>
      </w:tr>
    </w:tbl>
    <w:p>
      <w:pPr>
        <w:spacing w:line="50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1.2.3巩固率</w:t>
      </w:r>
    </w:p>
    <w:p>
      <w:pPr>
        <w:spacing w:line="500" w:lineRule="exact"/>
        <w:ind w:firstLine="640" w:firstLineChars="200"/>
        <w:rPr>
          <w:rFonts w:hint="eastAsia" w:ascii="仿宋_GB2312" w:hAnsi="仿宋_GB2312" w:eastAsia="仿宋_GB2312" w:cs="仿宋_GB2312"/>
          <w:sz w:val="32"/>
          <w:szCs w:val="32"/>
          <w:shd w:val="clear" w:color="auto" w:fill="FDFDFC"/>
          <w:lang w:eastAsia="zh-CN"/>
        </w:rPr>
      </w:pPr>
      <w:r>
        <w:rPr>
          <w:rFonts w:hint="eastAsia" w:ascii="仿宋_GB2312" w:hAnsi="仿宋_GB2312" w:eastAsia="仿宋_GB2312" w:cs="仿宋_GB2312"/>
          <w:sz w:val="32"/>
          <w:szCs w:val="32"/>
          <w:shd w:val="clear" w:color="auto" w:fill="FDFDFC"/>
        </w:rPr>
        <w:t>学校以培养学生“成人、成才、成功”为指导，全面做好学生的思想品德、遵纪守法、文明行为的教育与养成，狠抓学生流失率，切实做好学生思想工作，了解学生心理动态，不让一位学生轻易退学；做好家校沟通，学校每学年开展“万师访万家”活动，亲切关怀每一位学生。</w:t>
      </w:r>
      <w:r>
        <w:rPr>
          <w:rFonts w:hint="eastAsia" w:ascii="仿宋_GB2312" w:hAnsi="仿宋_GB2312" w:eastAsia="仿宋_GB2312" w:cs="仿宋_GB2312"/>
          <w:sz w:val="32"/>
          <w:szCs w:val="32"/>
          <w:shd w:val="clear" w:color="auto" w:fill="FDFDFC"/>
          <w:lang w:val="en-US" w:eastAsia="zh-CN"/>
        </w:rPr>
        <w:t>2020年</w:t>
      </w:r>
      <w:r>
        <w:rPr>
          <w:rFonts w:hint="eastAsia" w:ascii="仿宋_GB2312" w:hAnsi="仿宋_GB2312" w:eastAsia="仿宋_GB2312" w:cs="仿宋_GB2312"/>
          <w:sz w:val="32"/>
          <w:szCs w:val="32"/>
          <w:shd w:val="clear" w:color="auto" w:fill="FDFDFC"/>
        </w:rPr>
        <w:t>退学学生</w:t>
      </w:r>
      <w:r>
        <w:rPr>
          <w:rFonts w:hint="eastAsia" w:ascii="仿宋_GB2312" w:hAnsi="仿宋_GB2312" w:eastAsia="仿宋_GB2312" w:cs="仿宋_GB2312"/>
          <w:sz w:val="32"/>
          <w:szCs w:val="32"/>
          <w:shd w:val="clear" w:color="auto" w:fill="FDFDFC"/>
          <w:lang w:eastAsia="zh-CN"/>
        </w:rPr>
        <w:t>是</w:t>
      </w:r>
      <w:r>
        <w:rPr>
          <w:rFonts w:hint="eastAsia" w:ascii="仿宋_GB2312" w:hAnsi="仿宋_GB2312" w:eastAsia="仿宋_GB2312" w:cs="仿宋_GB2312"/>
          <w:sz w:val="32"/>
          <w:szCs w:val="32"/>
          <w:shd w:val="clear" w:color="auto" w:fill="FDFDFC"/>
        </w:rPr>
        <w:t>1</w:t>
      </w:r>
      <w:r>
        <w:rPr>
          <w:rFonts w:hint="eastAsia" w:ascii="仿宋_GB2312" w:hAnsi="仿宋_GB2312" w:eastAsia="仿宋_GB2312" w:cs="仿宋_GB2312"/>
          <w:sz w:val="32"/>
          <w:szCs w:val="32"/>
          <w:shd w:val="clear" w:color="auto" w:fill="FDFDFC"/>
          <w:lang w:val="en-US" w:eastAsia="zh-CN"/>
        </w:rPr>
        <w:t>94</w:t>
      </w:r>
      <w:r>
        <w:rPr>
          <w:rFonts w:hint="eastAsia" w:ascii="仿宋_GB2312" w:hAnsi="仿宋_GB2312" w:eastAsia="仿宋_GB2312" w:cs="仿宋_GB2312"/>
          <w:sz w:val="32"/>
          <w:szCs w:val="32"/>
          <w:shd w:val="clear" w:color="auto" w:fill="FDFDFC"/>
        </w:rPr>
        <w:t>人，巩固率</w:t>
      </w:r>
      <w:r>
        <w:rPr>
          <w:rFonts w:hint="eastAsia" w:ascii="仿宋_GB2312" w:hAnsi="仿宋_GB2312" w:eastAsia="仿宋_GB2312" w:cs="仿宋_GB2312"/>
          <w:sz w:val="32"/>
          <w:szCs w:val="32"/>
          <w:shd w:val="clear" w:color="auto" w:fill="FDFDFC"/>
          <w:lang w:eastAsia="zh-CN"/>
        </w:rPr>
        <w:t>基本以去年持平。</w:t>
      </w:r>
    </w:p>
    <w:p>
      <w:pPr>
        <w:spacing w:line="500" w:lineRule="exact"/>
        <w:ind w:firstLine="643" w:firstLineChars="200"/>
        <w:rPr>
          <w:rFonts w:ascii="黑体" w:hAnsi="黑体" w:eastAsia="黑体" w:cs="黑体"/>
          <w:b/>
          <w:bCs/>
          <w:sz w:val="32"/>
          <w:szCs w:val="32"/>
        </w:rPr>
      </w:pPr>
      <w:r>
        <w:rPr>
          <w:rFonts w:hint="eastAsia" w:ascii="黑体" w:hAnsi="黑体" w:eastAsia="黑体" w:cs="黑体"/>
          <w:b/>
          <w:bCs/>
          <w:sz w:val="32"/>
          <w:szCs w:val="32"/>
        </w:rPr>
        <w:t>1.2.4培训规模</w:t>
      </w:r>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学校20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年职业技能培训11</w:t>
      </w:r>
      <w:r>
        <w:rPr>
          <w:rFonts w:hint="eastAsia" w:ascii="仿宋_GB2312" w:hAnsi="仿宋_GB2312" w:eastAsia="仿宋_GB2312" w:cs="仿宋_GB2312"/>
          <w:sz w:val="32"/>
          <w:szCs w:val="32"/>
          <w:shd w:val="clear" w:color="auto" w:fill="FDFDFC"/>
          <w:lang w:val="en-US" w:eastAsia="zh-CN"/>
        </w:rPr>
        <w:t>79</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9</w:t>
      </w:r>
      <w:r>
        <w:rPr>
          <w:rFonts w:hint="eastAsia" w:ascii="仿宋_GB2312" w:hAnsi="仿宋_GB2312" w:eastAsia="仿宋_GB2312" w:cs="仿宋_GB2312"/>
          <w:sz w:val="32"/>
          <w:szCs w:val="32"/>
          <w:shd w:val="clear" w:color="auto" w:fill="FDFDFC"/>
        </w:rPr>
        <w:t>年职业技能培训</w:t>
      </w:r>
      <w:r>
        <w:rPr>
          <w:rFonts w:hint="eastAsia" w:ascii="仿宋_GB2312" w:hAnsi="仿宋_GB2312" w:eastAsia="仿宋_GB2312" w:cs="仿宋_GB2312"/>
          <w:sz w:val="32"/>
          <w:szCs w:val="32"/>
          <w:shd w:val="clear" w:color="auto" w:fill="FDFDFC"/>
          <w:lang w:val="en-US" w:eastAsia="zh-CN"/>
        </w:rPr>
        <w:t>1187</w:t>
      </w:r>
      <w:r>
        <w:rPr>
          <w:rFonts w:hint="eastAsia" w:ascii="仿宋_GB2312" w:hAnsi="仿宋_GB2312" w:eastAsia="仿宋_GB2312" w:cs="仿宋_GB2312"/>
          <w:sz w:val="32"/>
          <w:szCs w:val="32"/>
          <w:shd w:val="clear" w:color="auto" w:fill="FDFDFC"/>
        </w:rPr>
        <w:t>人，同比增长-</w:t>
      </w:r>
      <w:r>
        <w:rPr>
          <w:rFonts w:hint="eastAsia" w:ascii="仿宋_GB2312" w:hAnsi="仿宋_GB2312" w:eastAsia="仿宋_GB2312" w:cs="仿宋_GB2312"/>
          <w:sz w:val="32"/>
          <w:szCs w:val="32"/>
          <w:shd w:val="clear" w:color="auto" w:fill="FDFDFC"/>
          <w:lang w:val="en-US" w:eastAsia="zh-CN"/>
        </w:rPr>
        <w:t>0.7</w:t>
      </w:r>
      <w:r>
        <w:rPr>
          <w:rFonts w:hint="eastAsia" w:ascii="仿宋_GB2312" w:hAnsi="仿宋_GB2312" w:eastAsia="仿宋_GB2312" w:cs="仿宋_GB2312"/>
          <w:sz w:val="32"/>
          <w:szCs w:val="32"/>
          <w:shd w:val="clear" w:color="auto" w:fill="FDFDFC"/>
        </w:rPr>
        <w:t>%。</w:t>
      </w:r>
    </w:p>
    <w:p>
      <w:pPr>
        <w:pStyle w:val="4"/>
        <w:spacing w:before="156" w:after="156" w:line="500" w:lineRule="exact"/>
        <w:ind w:firstLine="723"/>
        <w:rPr>
          <w:rFonts w:hint="default"/>
        </w:rPr>
      </w:pPr>
      <w:bookmarkStart w:id="22" w:name="_Toc22448"/>
      <w:bookmarkStart w:id="23" w:name="_Toc19655"/>
      <w:bookmarkStart w:id="24" w:name="_Toc30160"/>
      <w:bookmarkStart w:id="25" w:name="_Toc25864"/>
      <w:r>
        <w:t>1.3教师队伍</w:t>
      </w:r>
      <w:bookmarkEnd w:id="22"/>
      <w:bookmarkEnd w:id="23"/>
      <w:bookmarkEnd w:id="24"/>
      <w:bookmarkEnd w:id="25"/>
    </w:p>
    <w:p>
      <w:pPr>
        <w:spacing w:line="500" w:lineRule="exact"/>
        <w:ind w:firstLine="640" w:firstLineChars="200"/>
        <w:rPr>
          <w:rFonts w:hint="eastAsia" w:ascii="仿宋_GB2312" w:hAnsi="仿宋_GB2312" w:eastAsia="仿宋_GB2312" w:cs="仿宋_GB2312"/>
          <w:color w:val="auto"/>
          <w:sz w:val="32"/>
          <w:szCs w:val="32"/>
          <w:shd w:val="clear" w:color="auto" w:fill="FDFDFC"/>
        </w:rPr>
      </w:pPr>
      <w:bookmarkStart w:id="26" w:name="_Toc22249"/>
      <w:bookmarkStart w:id="27" w:name="_Toc21653"/>
      <w:bookmarkStart w:id="28" w:name="_Toc14942"/>
      <w:r>
        <w:rPr>
          <w:rFonts w:hint="eastAsia" w:ascii="仿宋_GB2312" w:hAnsi="仿宋_GB2312" w:eastAsia="仿宋_GB2312" w:cs="仿宋_GB2312"/>
          <w:color w:val="auto"/>
          <w:sz w:val="32"/>
          <w:szCs w:val="32"/>
          <w:shd w:val="clear" w:color="auto" w:fill="FDFDFC"/>
        </w:rPr>
        <w:t>20</w:t>
      </w:r>
      <w:r>
        <w:rPr>
          <w:rFonts w:hint="eastAsia" w:ascii="仿宋_GB2312" w:hAnsi="仿宋_GB2312" w:eastAsia="仿宋_GB2312" w:cs="仿宋_GB2312"/>
          <w:color w:val="auto"/>
          <w:sz w:val="32"/>
          <w:szCs w:val="32"/>
          <w:shd w:val="clear" w:color="auto" w:fill="FDFDFC"/>
          <w:lang w:val="en-US" w:eastAsia="zh-CN"/>
        </w:rPr>
        <w:t>20</w:t>
      </w:r>
      <w:r>
        <w:rPr>
          <w:rFonts w:hint="eastAsia" w:ascii="仿宋_GB2312" w:hAnsi="仿宋_GB2312" w:eastAsia="仿宋_GB2312" w:cs="仿宋_GB2312"/>
          <w:color w:val="auto"/>
          <w:sz w:val="32"/>
          <w:szCs w:val="32"/>
          <w:shd w:val="clear" w:color="auto" w:fill="FDFDFC"/>
        </w:rPr>
        <w:t>年</w:t>
      </w:r>
      <w:r>
        <w:rPr>
          <w:rFonts w:hint="eastAsia" w:ascii="仿宋_GB2312" w:hAnsi="仿宋_GB2312" w:eastAsia="仿宋_GB2312" w:cs="仿宋_GB2312"/>
          <w:color w:val="auto"/>
          <w:sz w:val="32"/>
          <w:szCs w:val="32"/>
          <w:shd w:val="clear" w:color="auto" w:fill="FDFDFC"/>
          <w:lang w:eastAsia="zh-CN"/>
        </w:rPr>
        <w:t>下半年</w:t>
      </w:r>
      <w:r>
        <w:rPr>
          <w:rFonts w:hint="eastAsia" w:ascii="仿宋_GB2312" w:hAnsi="仿宋_GB2312" w:eastAsia="仿宋_GB2312" w:cs="仿宋_GB2312"/>
          <w:color w:val="auto"/>
          <w:sz w:val="32"/>
          <w:szCs w:val="32"/>
          <w:shd w:val="clear" w:color="auto" w:fill="FDFDFC"/>
        </w:rPr>
        <w:t>，学校</w:t>
      </w:r>
      <w:r>
        <w:rPr>
          <w:rFonts w:hint="eastAsia" w:ascii="仿宋_GB2312" w:hAnsi="仿宋_GB2312" w:eastAsia="仿宋_GB2312" w:cs="仿宋_GB2312"/>
          <w:color w:val="auto"/>
          <w:sz w:val="32"/>
          <w:szCs w:val="32"/>
          <w:shd w:val="clear" w:color="auto" w:fill="FDFDFC"/>
          <w:lang w:eastAsia="zh-CN"/>
        </w:rPr>
        <w:t>有教学任务</w:t>
      </w:r>
      <w:r>
        <w:rPr>
          <w:rFonts w:hint="eastAsia" w:ascii="仿宋_GB2312" w:hAnsi="仿宋_GB2312" w:eastAsia="仿宋_GB2312" w:cs="仿宋_GB2312"/>
          <w:color w:val="auto"/>
          <w:sz w:val="32"/>
          <w:szCs w:val="32"/>
          <w:shd w:val="clear" w:color="auto" w:fill="FDFDFC"/>
        </w:rPr>
        <w:t>教师</w:t>
      </w:r>
      <w:r>
        <w:rPr>
          <w:rFonts w:hint="eastAsia" w:ascii="仿宋_GB2312" w:hAnsi="仿宋_GB2312" w:eastAsia="仿宋_GB2312" w:cs="仿宋_GB2312"/>
          <w:color w:val="auto"/>
          <w:sz w:val="32"/>
          <w:szCs w:val="32"/>
          <w:shd w:val="clear" w:color="auto" w:fill="FDFDFC"/>
          <w:lang w:val="en-US" w:eastAsia="zh-CN"/>
        </w:rPr>
        <w:t>160</w:t>
      </w:r>
      <w:r>
        <w:rPr>
          <w:rFonts w:hint="eastAsia" w:ascii="仿宋_GB2312" w:hAnsi="仿宋_GB2312" w:eastAsia="仿宋_GB2312" w:cs="仿宋_GB2312"/>
          <w:color w:val="auto"/>
          <w:sz w:val="32"/>
          <w:szCs w:val="32"/>
          <w:shd w:val="clear" w:color="auto" w:fill="FDFDFC"/>
        </w:rPr>
        <w:t>人，生师比2</w:t>
      </w:r>
      <w:r>
        <w:rPr>
          <w:rFonts w:hint="eastAsia" w:ascii="仿宋_GB2312" w:hAnsi="仿宋_GB2312" w:eastAsia="仿宋_GB2312" w:cs="仿宋_GB2312"/>
          <w:color w:val="auto"/>
          <w:sz w:val="32"/>
          <w:szCs w:val="32"/>
          <w:shd w:val="clear" w:color="auto" w:fill="FDFDFC"/>
          <w:lang w:val="en-US" w:eastAsia="zh-CN"/>
        </w:rPr>
        <w:t>4</w:t>
      </w:r>
      <w:r>
        <w:rPr>
          <w:rFonts w:hint="eastAsia" w:ascii="仿宋_GB2312" w:hAnsi="仿宋_GB2312" w:eastAsia="仿宋_GB2312" w:cs="仿宋_GB2312"/>
          <w:color w:val="auto"/>
          <w:sz w:val="32"/>
          <w:szCs w:val="32"/>
          <w:shd w:val="clear" w:color="auto" w:fill="FDFDFC"/>
        </w:rPr>
        <w:t>.2:1</w:t>
      </w:r>
      <w:r>
        <w:rPr>
          <w:rFonts w:hint="eastAsia" w:ascii="仿宋_GB2312" w:hAnsi="仿宋_GB2312" w:eastAsia="仿宋_GB2312" w:cs="仿宋_GB2312"/>
          <w:color w:val="auto"/>
          <w:sz w:val="32"/>
          <w:szCs w:val="32"/>
          <w:shd w:val="clear" w:color="auto" w:fill="FDFDFC"/>
          <w:lang w:eastAsia="zh-CN"/>
        </w:rPr>
        <w:t>。其中专任教师</w:t>
      </w:r>
      <w:r>
        <w:rPr>
          <w:rFonts w:hint="eastAsia" w:ascii="仿宋_GB2312" w:hAnsi="仿宋_GB2312" w:eastAsia="仿宋_GB2312" w:cs="仿宋_GB2312"/>
          <w:color w:val="auto"/>
          <w:sz w:val="32"/>
          <w:szCs w:val="32"/>
          <w:shd w:val="clear" w:color="auto" w:fill="FDFDFC"/>
          <w:lang w:val="en-US" w:eastAsia="zh-CN"/>
        </w:rPr>
        <w:t>103人，</w:t>
      </w:r>
      <w:r>
        <w:rPr>
          <w:rFonts w:hint="eastAsia" w:ascii="仿宋_GB2312" w:hAnsi="仿宋_GB2312" w:eastAsia="仿宋_GB2312" w:cs="仿宋_GB2312"/>
          <w:color w:val="auto"/>
          <w:sz w:val="32"/>
          <w:szCs w:val="32"/>
          <w:shd w:val="clear" w:color="auto" w:fill="FDFDFC"/>
        </w:rPr>
        <w:t>占比</w:t>
      </w:r>
      <w:r>
        <w:rPr>
          <w:rFonts w:hint="eastAsia" w:ascii="仿宋_GB2312" w:hAnsi="仿宋_GB2312" w:eastAsia="仿宋_GB2312" w:cs="仿宋_GB2312"/>
          <w:color w:val="auto"/>
          <w:sz w:val="32"/>
          <w:szCs w:val="32"/>
          <w:shd w:val="clear" w:color="auto" w:fill="FDFDFC"/>
          <w:lang w:val="en-US" w:eastAsia="zh-CN"/>
        </w:rPr>
        <w:t>64.4%，</w:t>
      </w:r>
      <w:r>
        <w:rPr>
          <w:rFonts w:hint="eastAsia" w:ascii="仿宋_GB2312" w:hAnsi="仿宋_GB2312" w:eastAsia="仿宋_GB2312" w:cs="仿宋_GB2312"/>
          <w:color w:val="auto"/>
          <w:sz w:val="32"/>
          <w:szCs w:val="32"/>
          <w:shd w:val="clear" w:color="auto" w:fill="FDFDFC"/>
        </w:rPr>
        <w:t>兼职教师</w:t>
      </w:r>
      <w:r>
        <w:rPr>
          <w:rFonts w:hint="eastAsia" w:ascii="仿宋_GB2312" w:hAnsi="仿宋_GB2312" w:eastAsia="仿宋_GB2312" w:cs="仿宋_GB2312"/>
          <w:color w:val="auto"/>
          <w:sz w:val="32"/>
          <w:szCs w:val="32"/>
          <w:shd w:val="clear" w:color="auto" w:fill="FDFDFC"/>
          <w:lang w:val="en-US" w:eastAsia="zh-CN"/>
        </w:rPr>
        <w:t>57</w:t>
      </w:r>
      <w:r>
        <w:rPr>
          <w:rFonts w:hint="eastAsia" w:ascii="仿宋_GB2312" w:hAnsi="仿宋_GB2312" w:eastAsia="仿宋_GB2312" w:cs="仿宋_GB2312"/>
          <w:color w:val="auto"/>
          <w:sz w:val="32"/>
          <w:szCs w:val="32"/>
          <w:shd w:val="clear" w:color="auto" w:fill="FDFDFC"/>
        </w:rPr>
        <w:t>人，</w:t>
      </w:r>
      <w:r>
        <w:rPr>
          <w:rFonts w:hint="eastAsia" w:ascii="仿宋_GB2312" w:hAnsi="仿宋_GB2312" w:eastAsia="仿宋_GB2312" w:cs="仿宋_GB2312"/>
          <w:color w:val="auto"/>
          <w:sz w:val="32"/>
          <w:szCs w:val="32"/>
          <w:shd w:val="clear" w:color="auto" w:fill="FDFDFC"/>
          <w:lang w:val="en-US" w:eastAsia="zh-CN"/>
        </w:rPr>
        <w:t>占比 35.6%。</w:t>
      </w:r>
      <w:r>
        <w:rPr>
          <w:rFonts w:hint="eastAsia" w:ascii="仿宋_GB2312" w:hAnsi="仿宋_GB2312" w:eastAsia="仿宋_GB2312" w:cs="仿宋_GB2312"/>
          <w:color w:val="auto"/>
          <w:sz w:val="32"/>
          <w:szCs w:val="32"/>
          <w:shd w:val="clear" w:color="auto" w:fill="FDFDFC"/>
        </w:rPr>
        <w:t>本科学历1</w:t>
      </w:r>
      <w:r>
        <w:rPr>
          <w:rFonts w:hint="eastAsia" w:ascii="仿宋_GB2312" w:hAnsi="仿宋_GB2312" w:eastAsia="仿宋_GB2312" w:cs="仿宋_GB2312"/>
          <w:color w:val="auto"/>
          <w:sz w:val="32"/>
          <w:szCs w:val="32"/>
          <w:shd w:val="clear" w:color="auto" w:fill="FDFDFC"/>
          <w:lang w:val="en-US" w:eastAsia="zh-CN"/>
        </w:rPr>
        <w:t>17</w:t>
      </w:r>
      <w:r>
        <w:rPr>
          <w:rFonts w:hint="eastAsia" w:ascii="仿宋_GB2312" w:hAnsi="仿宋_GB2312" w:eastAsia="仿宋_GB2312" w:cs="仿宋_GB2312"/>
          <w:color w:val="auto"/>
          <w:sz w:val="32"/>
          <w:szCs w:val="32"/>
          <w:shd w:val="clear" w:color="auto" w:fill="FDFDFC"/>
        </w:rPr>
        <w:t>人，占比</w:t>
      </w:r>
      <w:r>
        <w:rPr>
          <w:rFonts w:hint="eastAsia" w:ascii="仿宋_GB2312" w:hAnsi="仿宋_GB2312" w:eastAsia="仿宋_GB2312" w:cs="仿宋_GB2312"/>
          <w:color w:val="auto"/>
          <w:sz w:val="32"/>
          <w:szCs w:val="32"/>
          <w:shd w:val="clear" w:color="auto" w:fill="FDFDFC"/>
          <w:lang w:val="en-US" w:eastAsia="zh-CN"/>
        </w:rPr>
        <w:t>73.1%</w:t>
      </w:r>
      <w:r>
        <w:rPr>
          <w:rFonts w:hint="eastAsia" w:ascii="仿宋_GB2312" w:hAnsi="仿宋_GB2312" w:eastAsia="仿宋_GB2312" w:cs="仿宋_GB2312"/>
          <w:color w:val="auto"/>
          <w:sz w:val="32"/>
          <w:szCs w:val="32"/>
          <w:shd w:val="clear" w:color="auto" w:fill="FDFDFC"/>
        </w:rPr>
        <w:t>,比去年略减2.6%；硕士以上学历1</w:t>
      </w:r>
      <w:r>
        <w:rPr>
          <w:rFonts w:hint="eastAsia" w:ascii="仿宋_GB2312" w:hAnsi="仿宋_GB2312" w:eastAsia="仿宋_GB2312" w:cs="仿宋_GB2312"/>
          <w:color w:val="auto"/>
          <w:sz w:val="32"/>
          <w:szCs w:val="32"/>
          <w:shd w:val="clear" w:color="auto" w:fill="FDFDFC"/>
          <w:lang w:val="en-US" w:eastAsia="zh-CN"/>
        </w:rPr>
        <w:t>6</w:t>
      </w:r>
      <w:r>
        <w:rPr>
          <w:rFonts w:hint="eastAsia" w:ascii="仿宋_GB2312" w:hAnsi="仿宋_GB2312" w:eastAsia="仿宋_GB2312" w:cs="仿宋_GB2312"/>
          <w:color w:val="auto"/>
          <w:sz w:val="32"/>
          <w:szCs w:val="32"/>
          <w:shd w:val="clear" w:color="auto" w:fill="FDFDFC"/>
        </w:rPr>
        <w:t>人，占比10.</w:t>
      </w:r>
      <w:r>
        <w:rPr>
          <w:rFonts w:hint="eastAsia" w:ascii="仿宋_GB2312" w:hAnsi="仿宋_GB2312" w:eastAsia="仿宋_GB2312" w:cs="仿宋_GB2312"/>
          <w:color w:val="auto"/>
          <w:sz w:val="32"/>
          <w:szCs w:val="32"/>
          <w:shd w:val="clear" w:color="auto" w:fill="FDFDFC"/>
          <w:lang w:val="en-US" w:eastAsia="zh-CN"/>
        </w:rPr>
        <w:t>0</w:t>
      </w:r>
      <w:r>
        <w:rPr>
          <w:rFonts w:hint="eastAsia" w:ascii="仿宋_GB2312" w:hAnsi="仿宋_GB2312" w:eastAsia="仿宋_GB2312" w:cs="仿宋_GB2312"/>
          <w:color w:val="auto"/>
          <w:sz w:val="32"/>
          <w:szCs w:val="32"/>
          <w:shd w:val="clear" w:color="auto" w:fill="FDFDFC"/>
        </w:rPr>
        <w:t>%，比去年略减</w:t>
      </w:r>
      <w:r>
        <w:rPr>
          <w:rFonts w:hint="eastAsia" w:ascii="仿宋_GB2312" w:hAnsi="仿宋_GB2312" w:eastAsia="仿宋_GB2312" w:cs="仿宋_GB2312"/>
          <w:color w:val="auto"/>
          <w:sz w:val="32"/>
          <w:szCs w:val="32"/>
          <w:shd w:val="clear" w:color="auto" w:fill="FDFDFC"/>
          <w:lang w:val="en-US" w:eastAsia="zh-CN"/>
        </w:rPr>
        <w:t>0</w:t>
      </w:r>
      <w:r>
        <w:rPr>
          <w:rFonts w:hint="eastAsia" w:ascii="仿宋_GB2312" w:hAnsi="仿宋_GB2312" w:eastAsia="仿宋_GB2312" w:cs="仿宋_GB2312"/>
          <w:color w:val="auto"/>
          <w:sz w:val="32"/>
          <w:szCs w:val="32"/>
          <w:shd w:val="clear" w:color="auto" w:fill="FDFDFC"/>
        </w:rPr>
        <w:t>.</w:t>
      </w:r>
      <w:r>
        <w:rPr>
          <w:rFonts w:hint="eastAsia" w:ascii="仿宋_GB2312" w:hAnsi="仿宋_GB2312" w:eastAsia="仿宋_GB2312" w:cs="仿宋_GB2312"/>
          <w:color w:val="auto"/>
          <w:sz w:val="32"/>
          <w:szCs w:val="32"/>
          <w:shd w:val="clear" w:color="auto" w:fill="FDFDFC"/>
          <w:lang w:val="en-US" w:eastAsia="zh-CN"/>
        </w:rPr>
        <w:t>7</w:t>
      </w:r>
      <w:r>
        <w:rPr>
          <w:rFonts w:hint="eastAsia" w:ascii="仿宋_GB2312" w:hAnsi="仿宋_GB2312" w:eastAsia="仿宋_GB2312" w:cs="仿宋_GB2312"/>
          <w:color w:val="auto"/>
          <w:sz w:val="32"/>
          <w:szCs w:val="32"/>
          <w:shd w:val="clear" w:color="auto" w:fill="FDFDFC"/>
        </w:rPr>
        <w:t>%；高级职称3</w:t>
      </w:r>
      <w:r>
        <w:rPr>
          <w:rFonts w:hint="eastAsia" w:ascii="仿宋_GB2312" w:hAnsi="仿宋_GB2312" w:eastAsia="仿宋_GB2312" w:cs="仿宋_GB2312"/>
          <w:color w:val="auto"/>
          <w:sz w:val="32"/>
          <w:szCs w:val="32"/>
          <w:shd w:val="clear" w:color="auto" w:fill="FDFDFC"/>
          <w:lang w:val="en-US" w:eastAsia="zh-CN"/>
        </w:rPr>
        <w:t>6</w:t>
      </w:r>
      <w:r>
        <w:rPr>
          <w:rFonts w:hint="eastAsia" w:ascii="仿宋_GB2312" w:hAnsi="仿宋_GB2312" w:eastAsia="仿宋_GB2312" w:cs="仿宋_GB2312"/>
          <w:color w:val="auto"/>
          <w:sz w:val="32"/>
          <w:szCs w:val="32"/>
          <w:shd w:val="clear" w:color="auto" w:fill="FDFDFC"/>
        </w:rPr>
        <w:t>人，占比</w:t>
      </w:r>
      <w:r>
        <w:rPr>
          <w:rFonts w:hint="eastAsia" w:ascii="仿宋_GB2312" w:hAnsi="仿宋_GB2312" w:eastAsia="仿宋_GB2312" w:cs="仿宋_GB2312"/>
          <w:color w:val="auto"/>
          <w:sz w:val="32"/>
          <w:szCs w:val="32"/>
          <w:shd w:val="clear" w:color="auto" w:fill="FDFDFC"/>
          <w:lang w:val="en-US" w:eastAsia="zh-CN"/>
        </w:rPr>
        <w:t>22.5%</w:t>
      </w:r>
      <w:r>
        <w:rPr>
          <w:rFonts w:hint="eastAsia" w:ascii="仿宋_GB2312" w:hAnsi="仿宋_GB2312" w:eastAsia="仿宋_GB2312" w:cs="仿宋_GB2312"/>
          <w:color w:val="auto"/>
          <w:sz w:val="32"/>
          <w:szCs w:val="32"/>
          <w:shd w:val="clear" w:color="auto" w:fill="FDFDFC"/>
        </w:rPr>
        <w:t>；经教育厅核发“双师型”教师证的教师</w:t>
      </w:r>
      <w:r>
        <w:rPr>
          <w:rFonts w:hint="eastAsia" w:ascii="仿宋_GB2312" w:hAnsi="仿宋_GB2312" w:eastAsia="仿宋_GB2312" w:cs="仿宋_GB2312"/>
          <w:color w:val="auto"/>
          <w:sz w:val="32"/>
          <w:szCs w:val="32"/>
          <w:shd w:val="clear" w:color="auto" w:fill="FDFDFC"/>
          <w:lang w:val="en-US" w:eastAsia="zh-CN"/>
        </w:rPr>
        <w:t>51</w:t>
      </w:r>
      <w:r>
        <w:rPr>
          <w:rFonts w:hint="eastAsia" w:ascii="仿宋_GB2312" w:hAnsi="仿宋_GB2312" w:eastAsia="仿宋_GB2312" w:cs="仿宋_GB2312"/>
          <w:color w:val="auto"/>
          <w:sz w:val="32"/>
          <w:szCs w:val="32"/>
          <w:shd w:val="clear" w:color="auto" w:fill="FDFDFC"/>
        </w:rPr>
        <w:t>人，占比</w:t>
      </w:r>
      <w:r>
        <w:rPr>
          <w:rFonts w:hint="eastAsia" w:ascii="仿宋_GB2312" w:hAnsi="仿宋_GB2312" w:eastAsia="仿宋_GB2312" w:cs="仿宋_GB2312"/>
          <w:color w:val="auto"/>
          <w:sz w:val="32"/>
          <w:szCs w:val="32"/>
          <w:shd w:val="clear" w:color="auto" w:fill="FDFDFC"/>
          <w:lang w:val="en-US" w:eastAsia="zh-CN"/>
        </w:rPr>
        <w:t>31.9%，比去年增加8</w:t>
      </w:r>
      <w:r>
        <w:rPr>
          <w:rFonts w:hint="eastAsia" w:ascii="仿宋_GB2312" w:hAnsi="仿宋_GB2312" w:eastAsia="仿宋_GB2312" w:cs="仿宋_GB2312"/>
          <w:color w:val="auto"/>
          <w:sz w:val="32"/>
          <w:szCs w:val="32"/>
          <w:shd w:val="clear" w:color="auto" w:fill="FDFDFC"/>
        </w:rPr>
        <w:t>.</w:t>
      </w:r>
      <w:r>
        <w:rPr>
          <w:rFonts w:hint="eastAsia" w:ascii="仿宋_GB2312" w:hAnsi="仿宋_GB2312" w:eastAsia="仿宋_GB2312" w:cs="仿宋_GB2312"/>
          <w:color w:val="auto"/>
          <w:sz w:val="32"/>
          <w:szCs w:val="32"/>
          <w:shd w:val="clear" w:color="auto" w:fill="FDFDFC"/>
          <w:lang w:val="en-US" w:eastAsia="zh-CN"/>
        </w:rPr>
        <w:t>2</w:t>
      </w:r>
      <w:r>
        <w:rPr>
          <w:rFonts w:hint="eastAsia" w:ascii="仿宋_GB2312" w:hAnsi="仿宋_GB2312" w:eastAsia="仿宋_GB2312" w:cs="仿宋_GB2312"/>
          <w:color w:val="auto"/>
          <w:sz w:val="32"/>
          <w:szCs w:val="32"/>
          <w:shd w:val="clear" w:color="auto" w:fill="FDFDFC"/>
        </w:rPr>
        <w:t>%。</w:t>
      </w:r>
    </w:p>
    <w:p>
      <w:pPr>
        <w:spacing w:line="500" w:lineRule="exact"/>
        <w:ind w:firstLine="640" w:firstLineChars="200"/>
        <w:rPr>
          <w:rFonts w:hint="eastAsia" w:ascii="仿宋_GB2312" w:hAnsi="仿宋_GB2312" w:eastAsia="仿宋_GB2312" w:cs="仿宋_GB2312"/>
          <w:color w:val="auto"/>
          <w:sz w:val="32"/>
          <w:szCs w:val="32"/>
          <w:shd w:val="clear" w:color="auto" w:fill="FDFDFC"/>
        </w:rPr>
      </w:pPr>
      <w:r>
        <w:rPr>
          <w:rFonts w:hint="eastAsia" w:ascii="仿宋_GB2312" w:hAnsi="仿宋_GB2312" w:eastAsia="仿宋_GB2312" w:cs="仿宋_GB2312"/>
          <w:color w:val="auto"/>
          <w:sz w:val="32"/>
          <w:szCs w:val="32"/>
          <w:shd w:val="clear" w:color="auto" w:fill="FDFDFC"/>
        </w:rPr>
        <w:t>专任教师中本科学历</w:t>
      </w:r>
      <w:r>
        <w:rPr>
          <w:rFonts w:hint="eastAsia" w:ascii="仿宋_GB2312" w:hAnsi="仿宋_GB2312" w:eastAsia="仿宋_GB2312" w:cs="仿宋_GB2312"/>
          <w:color w:val="auto"/>
          <w:sz w:val="32"/>
          <w:szCs w:val="32"/>
          <w:shd w:val="clear" w:color="auto" w:fill="FDFDFC"/>
          <w:lang w:val="en-US" w:eastAsia="zh-CN"/>
        </w:rPr>
        <w:t>68</w:t>
      </w:r>
      <w:r>
        <w:rPr>
          <w:rFonts w:hint="eastAsia" w:ascii="仿宋_GB2312" w:hAnsi="仿宋_GB2312" w:eastAsia="仿宋_GB2312" w:cs="仿宋_GB2312"/>
          <w:color w:val="auto"/>
          <w:sz w:val="32"/>
          <w:szCs w:val="32"/>
          <w:shd w:val="clear" w:color="auto" w:fill="FDFDFC"/>
        </w:rPr>
        <w:t>人，占比</w:t>
      </w:r>
      <w:r>
        <w:rPr>
          <w:rFonts w:hint="eastAsia" w:ascii="仿宋_GB2312" w:hAnsi="仿宋_GB2312" w:eastAsia="仿宋_GB2312" w:cs="仿宋_GB2312"/>
          <w:color w:val="auto"/>
          <w:sz w:val="32"/>
          <w:szCs w:val="32"/>
          <w:shd w:val="clear" w:color="auto" w:fill="FDFDFC"/>
          <w:lang w:val="en-US" w:eastAsia="zh-CN"/>
        </w:rPr>
        <w:t>66</w:t>
      </w:r>
      <w:r>
        <w:rPr>
          <w:rFonts w:hint="eastAsia" w:ascii="仿宋_GB2312" w:hAnsi="仿宋_GB2312" w:eastAsia="仿宋_GB2312" w:cs="仿宋_GB2312"/>
          <w:color w:val="auto"/>
          <w:sz w:val="32"/>
          <w:szCs w:val="32"/>
          <w:shd w:val="clear" w:color="auto" w:fill="FDFDFC"/>
        </w:rPr>
        <w:t>%，比去年减少</w:t>
      </w:r>
      <w:r>
        <w:rPr>
          <w:rFonts w:hint="eastAsia" w:ascii="仿宋_GB2312" w:hAnsi="仿宋_GB2312" w:eastAsia="仿宋_GB2312" w:cs="仿宋_GB2312"/>
          <w:color w:val="auto"/>
          <w:sz w:val="32"/>
          <w:szCs w:val="32"/>
          <w:shd w:val="clear" w:color="auto" w:fill="FDFDFC"/>
          <w:lang w:val="en-US" w:eastAsia="zh-CN"/>
        </w:rPr>
        <w:t>8</w:t>
      </w:r>
      <w:r>
        <w:rPr>
          <w:rFonts w:hint="eastAsia" w:ascii="仿宋_GB2312" w:hAnsi="仿宋_GB2312" w:eastAsia="仿宋_GB2312" w:cs="仿宋_GB2312"/>
          <w:color w:val="auto"/>
          <w:sz w:val="32"/>
          <w:szCs w:val="32"/>
          <w:shd w:val="clear" w:color="auto" w:fill="FDFDFC"/>
        </w:rPr>
        <w:t>.</w:t>
      </w:r>
      <w:r>
        <w:rPr>
          <w:rFonts w:hint="eastAsia" w:ascii="仿宋_GB2312" w:hAnsi="仿宋_GB2312" w:eastAsia="仿宋_GB2312" w:cs="仿宋_GB2312"/>
          <w:color w:val="auto"/>
          <w:sz w:val="32"/>
          <w:szCs w:val="32"/>
          <w:shd w:val="clear" w:color="auto" w:fill="FDFDFC"/>
          <w:lang w:val="en-US" w:eastAsia="zh-CN"/>
        </w:rPr>
        <w:t>3</w:t>
      </w:r>
      <w:r>
        <w:rPr>
          <w:rFonts w:hint="eastAsia" w:ascii="仿宋_GB2312" w:hAnsi="仿宋_GB2312" w:eastAsia="仿宋_GB2312" w:cs="仿宋_GB2312"/>
          <w:color w:val="auto"/>
          <w:sz w:val="32"/>
          <w:szCs w:val="32"/>
          <w:shd w:val="clear" w:color="auto" w:fill="FDFDFC"/>
        </w:rPr>
        <w:t>%；硕士以上学历</w:t>
      </w:r>
      <w:r>
        <w:rPr>
          <w:rFonts w:hint="eastAsia" w:ascii="仿宋_GB2312" w:hAnsi="仿宋_GB2312" w:eastAsia="仿宋_GB2312" w:cs="仿宋_GB2312"/>
          <w:color w:val="auto"/>
          <w:sz w:val="32"/>
          <w:szCs w:val="32"/>
          <w:shd w:val="clear" w:color="auto" w:fill="FDFDFC"/>
          <w:lang w:val="en-US" w:eastAsia="zh-CN"/>
        </w:rPr>
        <w:t>11</w:t>
      </w:r>
      <w:r>
        <w:rPr>
          <w:rFonts w:hint="eastAsia" w:ascii="仿宋_GB2312" w:hAnsi="仿宋_GB2312" w:eastAsia="仿宋_GB2312" w:cs="仿宋_GB2312"/>
          <w:color w:val="auto"/>
          <w:sz w:val="32"/>
          <w:szCs w:val="32"/>
          <w:shd w:val="clear" w:color="auto" w:fill="FDFDFC"/>
        </w:rPr>
        <w:t>人，占比</w:t>
      </w:r>
      <w:r>
        <w:rPr>
          <w:rFonts w:hint="eastAsia" w:ascii="仿宋_GB2312" w:hAnsi="仿宋_GB2312" w:eastAsia="仿宋_GB2312" w:cs="仿宋_GB2312"/>
          <w:color w:val="auto"/>
          <w:sz w:val="32"/>
          <w:szCs w:val="32"/>
          <w:shd w:val="clear" w:color="auto" w:fill="FDFDFC"/>
          <w:lang w:val="en-US" w:eastAsia="zh-CN"/>
        </w:rPr>
        <w:t>10</w:t>
      </w:r>
      <w:r>
        <w:rPr>
          <w:rFonts w:hint="eastAsia" w:ascii="仿宋_GB2312" w:hAnsi="仿宋_GB2312" w:eastAsia="仿宋_GB2312" w:cs="仿宋_GB2312"/>
          <w:color w:val="auto"/>
          <w:sz w:val="32"/>
          <w:szCs w:val="32"/>
          <w:shd w:val="clear" w:color="auto" w:fill="FDFDFC"/>
        </w:rPr>
        <w:t>.7%，比去年增加</w:t>
      </w:r>
      <w:r>
        <w:rPr>
          <w:rFonts w:hint="eastAsia" w:ascii="仿宋_GB2312" w:hAnsi="仿宋_GB2312" w:eastAsia="仿宋_GB2312" w:cs="仿宋_GB2312"/>
          <w:color w:val="auto"/>
          <w:sz w:val="32"/>
          <w:szCs w:val="32"/>
          <w:shd w:val="clear" w:color="auto" w:fill="FDFDFC"/>
          <w:lang w:val="en-US" w:eastAsia="zh-CN"/>
        </w:rPr>
        <w:t>2</w:t>
      </w:r>
      <w:r>
        <w:rPr>
          <w:rFonts w:hint="eastAsia" w:ascii="仿宋_GB2312" w:hAnsi="仿宋_GB2312" w:eastAsia="仿宋_GB2312" w:cs="仿宋_GB2312"/>
          <w:color w:val="auto"/>
          <w:sz w:val="32"/>
          <w:szCs w:val="32"/>
          <w:shd w:val="clear" w:color="auto" w:fill="FDFDFC"/>
        </w:rPr>
        <w:t>%</w:t>
      </w:r>
      <w:r>
        <w:rPr>
          <w:rFonts w:hint="eastAsia" w:ascii="仿宋_GB2312" w:hAnsi="仿宋_GB2312" w:eastAsia="仿宋_GB2312" w:cs="仿宋_GB2312"/>
          <w:color w:val="auto"/>
          <w:sz w:val="32"/>
          <w:szCs w:val="32"/>
          <w:shd w:val="clear" w:color="auto" w:fill="FDFDFC"/>
          <w:lang w:eastAsia="zh-CN"/>
        </w:rPr>
        <w:t>；</w:t>
      </w:r>
      <w:r>
        <w:rPr>
          <w:rFonts w:hint="eastAsia" w:ascii="仿宋_GB2312" w:hAnsi="仿宋_GB2312" w:eastAsia="仿宋_GB2312" w:cs="仿宋_GB2312"/>
          <w:color w:val="auto"/>
          <w:sz w:val="32"/>
          <w:szCs w:val="32"/>
          <w:shd w:val="clear" w:color="auto" w:fill="FDFDFC"/>
        </w:rPr>
        <w:t>详见下表：</w:t>
      </w:r>
    </w:p>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表5：教师队伍情况一览表</w:t>
      </w:r>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1680"/>
        <w:gridCol w:w="1620"/>
        <w:gridCol w:w="1650"/>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年份</w:t>
            </w:r>
          </w:p>
        </w:tc>
        <w:tc>
          <w:tcPr>
            <w:tcW w:w="3300" w:type="dxa"/>
            <w:gridSpan w:val="2"/>
            <w:tcBorders>
              <w:top w:val="single" w:color="FFFFFF" w:sz="6" w:space="0"/>
              <w:left w:val="single" w:color="FFFFFF" w:sz="6" w:space="0"/>
              <w:bottom w:val="single" w:color="FFFFFF" w:sz="6" w:space="0"/>
              <w:right w:val="single" w:color="FFFFFF"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2019年</w:t>
            </w:r>
          </w:p>
        </w:tc>
        <w:tc>
          <w:tcPr>
            <w:tcW w:w="3202" w:type="dxa"/>
            <w:gridSpan w:val="2"/>
            <w:tcBorders>
              <w:top w:val="single" w:color="FFFFFF" w:sz="6" w:space="0"/>
              <w:left w:val="single" w:color="FFFFFF" w:sz="6" w:space="0"/>
              <w:bottom w:val="single" w:color="FFFFFF" w:sz="6" w:space="0"/>
              <w:right w:val="single" w:color="FFFFFF"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20</w:t>
            </w:r>
            <w:r>
              <w:rPr>
                <w:rFonts w:hint="eastAsia" w:asciiTheme="minorEastAsia" w:hAnsiTheme="minorEastAsia" w:cstheme="minorEastAsia"/>
                <w:b/>
                <w:bCs/>
                <w:sz w:val="24"/>
                <w:lang w:val="en-US" w:eastAsia="zh-CN"/>
              </w:rPr>
              <w:t>20</w:t>
            </w:r>
            <w:r>
              <w:rPr>
                <w:rFonts w:hint="eastAsia" w:asciiTheme="minorEastAsia" w:hAnsiTheme="minorEastAsia" w:cstheme="minorEastAsia"/>
                <w:b/>
                <w:bCs/>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教师类型</w:t>
            </w:r>
          </w:p>
        </w:tc>
        <w:tc>
          <w:tcPr>
            <w:tcW w:w="168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专任教师</w:t>
            </w:r>
          </w:p>
        </w:tc>
        <w:tc>
          <w:tcPr>
            <w:tcW w:w="162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兼职教师</w:t>
            </w:r>
          </w:p>
        </w:tc>
        <w:tc>
          <w:tcPr>
            <w:tcW w:w="165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专任教师</w:t>
            </w:r>
          </w:p>
        </w:tc>
        <w:tc>
          <w:tcPr>
            <w:tcW w:w="1552"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兼职教师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教师数量</w:t>
            </w:r>
          </w:p>
        </w:tc>
        <w:tc>
          <w:tcPr>
            <w:tcW w:w="168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sz w:val="24"/>
              </w:rPr>
            </w:pPr>
            <w:r>
              <w:rPr>
                <w:rFonts w:hint="eastAsia" w:asciiTheme="minorEastAsia" w:hAnsiTheme="minorEastAsia" w:cstheme="minorEastAsia"/>
                <w:sz w:val="24"/>
              </w:rPr>
              <w:t>104</w:t>
            </w:r>
          </w:p>
        </w:tc>
        <w:tc>
          <w:tcPr>
            <w:tcW w:w="162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b/>
                <w:sz w:val="24"/>
              </w:rPr>
            </w:pPr>
            <w:r>
              <w:rPr>
                <w:rFonts w:hint="eastAsia" w:asciiTheme="minorEastAsia" w:hAnsiTheme="minorEastAsia" w:cstheme="minorEastAsia"/>
                <w:bCs/>
                <w:sz w:val="24"/>
              </w:rPr>
              <w:t>65</w:t>
            </w:r>
          </w:p>
        </w:tc>
        <w:tc>
          <w:tcPr>
            <w:tcW w:w="165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103</w:t>
            </w:r>
          </w:p>
        </w:tc>
        <w:tc>
          <w:tcPr>
            <w:tcW w:w="1552"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5</w:t>
            </w:r>
            <w:r>
              <w:rPr>
                <w:rFonts w:hint="eastAsia" w:asciiTheme="minorEastAsia" w:hAnsiTheme="minorEastAsia" w:cstheme="minorEastAsia"/>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双师型教师</w:t>
            </w:r>
          </w:p>
        </w:tc>
        <w:tc>
          <w:tcPr>
            <w:tcW w:w="168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12</w:t>
            </w:r>
          </w:p>
        </w:tc>
        <w:tc>
          <w:tcPr>
            <w:tcW w:w="162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28</w:t>
            </w:r>
          </w:p>
        </w:tc>
        <w:tc>
          <w:tcPr>
            <w:tcW w:w="165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22</w:t>
            </w:r>
          </w:p>
        </w:tc>
        <w:tc>
          <w:tcPr>
            <w:tcW w:w="1552"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本科学历</w:t>
            </w:r>
          </w:p>
        </w:tc>
        <w:tc>
          <w:tcPr>
            <w:tcW w:w="168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sz w:val="24"/>
              </w:rPr>
            </w:pPr>
            <w:r>
              <w:rPr>
                <w:rFonts w:hint="eastAsia" w:asciiTheme="minorEastAsia" w:hAnsiTheme="minorEastAsia" w:cstheme="minorEastAsia"/>
                <w:sz w:val="24"/>
              </w:rPr>
              <w:t>77</w:t>
            </w:r>
          </w:p>
        </w:tc>
        <w:tc>
          <w:tcPr>
            <w:tcW w:w="162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sz w:val="24"/>
              </w:rPr>
            </w:pPr>
            <w:r>
              <w:rPr>
                <w:rFonts w:hint="eastAsia" w:asciiTheme="minorEastAsia" w:hAnsiTheme="minorEastAsia" w:cstheme="minorEastAsia"/>
                <w:sz w:val="24"/>
              </w:rPr>
              <w:t>51</w:t>
            </w:r>
          </w:p>
        </w:tc>
        <w:tc>
          <w:tcPr>
            <w:tcW w:w="165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68</w:t>
            </w:r>
          </w:p>
        </w:tc>
        <w:tc>
          <w:tcPr>
            <w:tcW w:w="1552"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研究生学历</w:t>
            </w:r>
          </w:p>
        </w:tc>
        <w:tc>
          <w:tcPr>
            <w:tcW w:w="168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9</w:t>
            </w:r>
          </w:p>
        </w:tc>
        <w:tc>
          <w:tcPr>
            <w:tcW w:w="162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9</w:t>
            </w:r>
          </w:p>
        </w:tc>
        <w:tc>
          <w:tcPr>
            <w:tcW w:w="1650"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11</w:t>
            </w:r>
          </w:p>
        </w:tc>
        <w:tc>
          <w:tcPr>
            <w:tcW w:w="1552"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高级职称教师</w:t>
            </w:r>
          </w:p>
        </w:tc>
        <w:tc>
          <w:tcPr>
            <w:tcW w:w="168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sz w:val="24"/>
              </w:rPr>
            </w:pPr>
            <w:r>
              <w:rPr>
                <w:rFonts w:hint="eastAsia" w:asciiTheme="minorEastAsia" w:hAnsiTheme="minorEastAsia" w:cstheme="minorEastAsia"/>
                <w:sz w:val="24"/>
              </w:rPr>
              <w:t>12</w:t>
            </w:r>
          </w:p>
        </w:tc>
        <w:tc>
          <w:tcPr>
            <w:tcW w:w="162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asciiTheme="minorEastAsia" w:hAnsiTheme="minorEastAsia" w:cstheme="minorEastAsia"/>
                <w:sz w:val="24"/>
              </w:rPr>
            </w:pPr>
            <w:r>
              <w:rPr>
                <w:rFonts w:hint="eastAsia" w:asciiTheme="minorEastAsia" w:hAnsiTheme="minorEastAsia" w:cstheme="minorEastAsia"/>
                <w:sz w:val="24"/>
              </w:rPr>
              <w:t>27</w:t>
            </w:r>
          </w:p>
        </w:tc>
        <w:tc>
          <w:tcPr>
            <w:tcW w:w="1650"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12</w:t>
            </w:r>
          </w:p>
        </w:tc>
        <w:tc>
          <w:tcPr>
            <w:tcW w:w="1552" w:type="dxa"/>
            <w:tcBorders>
              <w:top w:val="single" w:color="FFFFFF" w:sz="6" w:space="0"/>
              <w:left w:val="single" w:color="FFFFFF" w:sz="6" w:space="0"/>
              <w:bottom w:val="single" w:color="FFFFFF" w:sz="6" w:space="0"/>
              <w:right w:val="single" w:color="FFFFFF"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2138" w:type="dxa"/>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生师比</w:t>
            </w:r>
          </w:p>
        </w:tc>
        <w:tc>
          <w:tcPr>
            <w:tcW w:w="3300" w:type="dxa"/>
            <w:gridSpan w:val="2"/>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22.2:1</w:t>
            </w:r>
          </w:p>
        </w:tc>
        <w:tc>
          <w:tcPr>
            <w:tcW w:w="3202" w:type="dxa"/>
            <w:gridSpan w:val="2"/>
            <w:tcBorders>
              <w:top w:val="single" w:color="FFFFFF" w:sz="6" w:space="0"/>
              <w:left w:val="single" w:color="FFFFFF" w:sz="6" w:space="0"/>
              <w:bottom w:val="single" w:color="FFFFFF" w:sz="6" w:space="0"/>
              <w:right w:val="single" w:color="FFFFFF" w:sz="6" w:space="0"/>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sz w:val="24"/>
                <w:lang w:val="en-US" w:eastAsia="zh-CN"/>
              </w:rPr>
              <w:t>4.2</w:t>
            </w:r>
            <w:r>
              <w:rPr>
                <w:rFonts w:hint="eastAsia" w:asciiTheme="minorEastAsia" w:hAnsiTheme="minorEastAsia" w:cstheme="minorEastAsia"/>
                <w:sz w:val="24"/>
              </w:rPr>
              <w:t>:1</w:t>
            </w:r>
          </w:p>
        </w:tc>
      </w:tr>
    </w:tbl>
    <w:p>
      <w:pPr>
        <w:pStyle w:val="4"/>
        <w:spacing w:before="156" w:after="156" w:line="500" w:lineRule="exact"/>
        <w:ind w:firstLine="723"/>
        <w:rPr>
          <w:rFonts w:hint="default"/>
        </w:rPr>
      </w:pPr>
      <w:bookmarkStart w:id="29" w:name="_Toc11411"/>
      <w:r>
        <w:t>1.4设施设备</w:t>
      </w:r>
      <w:bookmarkEnd w:id="26"/>
      <w:bookmarkEnd w:id="27"/>
      <w:bookmarkEnd w:id="28"/>
      <w:bookmarkEnd w:id="29"/>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学校20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w:t>
      </w:r>
      <w:r>
        <w:rPr>
          <w:rFonts w:hint="eastAsia" w:ascii="仿宋_GB2312" w:hAnsi="仿宋_GB2312" w:eastAsia="仿宋_GB2312" w:cs="仿宋_GB2312"/>
          <w:sz w:val="32"/>
          <w:szCs w:val="32"/>
          <w:shd w:val="clear" w:color="auto" w:fill="FDFDFC"/>
          <w:lang w:eastAsia="zh-CN"/>
        </w:rPr>
        <w:t>共有</w:t>
      </w:r>
      <w:r>
        <w:rPr>
          <w:rFonts w:hint="eastAsia" w:ascii="仿宋_GB2312" w:hAnsi="仿宋_GB2312" w:eastAsia="仿宋_GB2312" w:cs="仿宋_GB2312"/>
          <w:sz w:val="32"/>
          <w:szCs w:val="32"/>
          <w:shd w:val="clear" w:color="auto" w:fill="FDFDFC"/>
          <w:lang w:val="en-US" w:eastAsia="zh-CN"/>
        </w:rPr>
        <w:t>42个实训室，</w:t>
      </w:r>
      <w:r>
        <w:rPr>
          <w:rFonts w:hint="eastAsia" w:ascii="仿宋_GB2312" w:hAnsi="仿宋_GB2312" w:eastAsia="仿宋_GB2312" w:cs="仿宋_GB2312"/>
          <w:sz w:val="32"/>
          <w:szCs w:val="32"/>
          <w:shd w:val="clear" w:color="auto" w:fill="FDFDFC"/>
        </w:rPr>
        <w:t>教学仪器设备总值</w:t>
      </w:r>
      <w:r>
        <w:rPr>
          <w:rFonts w:hint="eastAsia" w:ascii="仿宋_GB2312" w:hAnsi="仿宋_GB2312" w:eastAsia="仿宋_GB2312" w:cs="仿宋_GB2312"/>
          <w:sz w:val="32"/>
          <w:szCs w:val="32"/>
          <w:shd w:val="clear" w:color="auto" w:fill="FDFDFC"/>
          <w:lang w:val="en-US" w:eastAsia="zh-CN"/>
        </w:rPr>
        <w:t>2073.17</w:t>
      </w:r>
      <w:r>
        <w:rPr>
          <w:rFonts w:hint="eastAsia" w:ascii="仿宋_GB2312" w:hAnsi="仿宋_GB2312" w:eastAsia="仿宋_GB2312" w:cs="仿宋_GB2312"/>
          <w:sz w:val="32"/>
          <w:szCs w:val="32"/>
          <w:shd w:val="clear" w:color="auto" w:fill="FDFDFC"/>
        </w:rPr>
        <w:t>万元，实训实习工位1</w:t>
      </w:r>
      <w:r>
        <w:rPr>
          <w:rFonts w:hint="eastAsia" w:ascii="仿宋_GB2312" w:hAnsi="仿宋_GB2312" w:eastAsia="仿宋_GB2312" w:cs="仿宋_GB2312"/>
          <w:sz w:val="32"/>
          <w:szCs w:val="32"/>
          <w:shd w:val="clear" w:color="auto" w:fill="FDFDFC"/>
          <w:lang w:val="en-US" w:eastAsia="zh-CN"/>
        </w:rPr>
        <w:t>591</w:t>
      </w:r>
      <w:r>
        <w:rPr>
          <w:rFonts w:hint="eastAsia" w:ascii="仿宋_GB2312" w:hAnsi="仿宋_GB2312" w:eastAsia="仿宋_GB2312" w:cs="仿宋_GB2312"/>
          <w:sz w:val="32"/>
          <w:szCs w:val="32"/>
          <w:shd w:val="clear" w:color="auto" w:fill="FDFDFC"/>
        </w:rPr>
        <w:t>个，纸质图书</w:t>
      </w:r>
      <w:r>
        <w:rPr>
          <w:rFonts w:hint="eastAsia" w:ascii="仿宋_GB2312" w:hAnsi="仿宋_GB2312" w:eastAsia="仿宋_GB2312" w:cs="仿宋_GB2312"/>
          <w:sz w:val="32"/>
          <w:szCs w:val="32"/>
          <w:shd w:val="clear" w:color="auto" w:fill="FDFDFC"/>
          <w:lang w:val="en-US" w:eastAsia="zh-CN"/>
        </w:rPr>
        <w:t>2</w:t>
      </w:r>
      <w:r>
        <w:rPr>
          <w:rFonts w:hint="eastAsia" w:ascii="仿宋_GB2312" w:hAnsi="仿宋_GB2312" w:eastAsia="仿宋_GB2312" w:cs="仿宋_GB2312"/>
          <w:sz w:val="32"/>
          <w:szCs w:val="32"/>
          <w:shd w:val="clear" w:color="auto" w:fill="FDFDFC"/>
        </w:rPr>
        <w:t>.</w:t>
      </w:r>
      <w:r>
        <w:rPr>
          <w:rFonts w:hint="eastAsia" w:ascii="仿宋_GB2312" w:hAnsi="仿宋_GB2312" w:eastAsia="仿宋_GB2312" w:cs="仿宋_GB2312"/>
          <w:sz w:val="32"/>
          <w:szCs w:val="32"/>
          <w:shd w:val="clear" w:color="auto" w:fill="FDFDFC"/>
          <w:lang w:val="en-US" w:eastAsia="zh-CN"/>
        </w:rPr>
        <w:t>1</w:t>
      </w:r>
      <w:r>
        <w:rPr>
          <w:rFonts w:hint="eastAsia" w:ascii="仿宋_GB2312" w:hAnsi="仿宋_GB2312" w:eastAsia="仿宋_GB2312" w:cs="仿宋_GB2312"/>
          <w:sz w:val="32"/>
          <w:szCs w:val="32"/>
          <w:shd w:val="clear" w:color="auto" w:fill="FDFDFC"/>
        </w:rPr>
        <w:t>2万册。详见下表：</w:t>
      </w:r>
    </w:p>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表6：设施设备情况一览表</w:t>
      </w:r>
    </w:p>
    <w:tbl>
      <w:tblPr>
        <w:tblStyle w:val="12"/>
        <w:tblW w:w="8280" w:type="dxa"/>
        <w:jc w:val="cente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1620"/>
        <w:gridCol w:w="1260"/>
        <w:gridCol w:w="990"/>
        <w:gridCol w:w="1350"/>
        <w:gridCol w:w="975"/>
        <w:gridCol w:w="1110"/>
        <w:gridCol w:w="975"/>
      </w:tblGrid>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719" w:hRule="atLeast"/>
          <w:jc w:val="center"/>
        </w:trPr>
        <w:tc>
          <w:tcPr>
            <w:tcW w:w="1620" w:type="dxa"/>
            <w:vMerge w:val="restart"/>
            <w:tcBorders>
              <w:tl2br w:val="nil"/>
              <w:tr2bl w:val="nil"/>
            </w:tcBorders>
            <w:shd w:val="clear" w:color="auto" w:fill="5B9BD5"/>
            <w:vAlign w:val="center"/>
          </w:tcPr>
          <w:p>
            <w:pPr>
              <w:jc w:val="center"/>
              <w:rPr>
                <w:rFonts w:asciiTheme="minorEastAsia" w:hAnsiTheme="minorEastAsia" w:cstheme="minorEastAsia"/>
                <w:b/>
                <w:bCs/>
                <w:sz w:val="24"/>
              </w:rPr>
            </w:pPr>
            <w:bookmarkStart w:id="30" w:name="_Toc4216"/>
            <w:bookmarkStart w:id="31" w:name="_Toc4829"/>
            <w:bookmarkStart w:id="32" w:name="_Toc21406"/>
            <w:r>
              <w:rPr>
                <w:rFonts w:hint="eastAsia" w:asciiTheme="minorEastAsia" w:hAnsiTheme="minorEastAsia" w:cstheme="minorEastAsia"/>
                <w:b/>
                <w:bCs/>
                <w:sz w:val="24"/>
              </w:rPr>
              <w:t>年份</w:t>
            </w:r>
          </w:p>
        </w:tc>
        <w:tc>
          <w:tcPr>
            <w:tcW w:w="2250" w:type="dxa"/>
            <w:gridSpan w:val="2"/>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教学仪器设备</w:t>
            </w:r>
          </w:p>
          <w:p>
            <w:pPr>
              <w:jc w:val="center"/>
              <w:rPr>
                <w:rFonts w:asciiTheme="minorEastAsia" w:hAnsiTheme="minorEastAsia" w:cstheme="minorEastAsia"/>
                <w:b/>
                <w:bCs/>
                <w:sz w:val="24"/>
              </w:rPr>
            </w:pPr>
            <w:r>
              <w:rPr>
                <w:rFonts w:hint="eastAsia" w:asciiTheme="minorEastAsia" w:hAnsiTheme="minorEastAsia" w:cstheme="minorEastAsia"/>
                <w:b/>
                <w:bCs/>
                <w:sz w:val="24"/>
              </w:rPr>
              <w:t>（单位：万元）</w:t>
            </w:r>
          </w:p>
        </w:tc>
        <w:tc>
          <w:tcPr>
            <w:tcW w:w="2325" w:type="dxa"/>
            <w:gridSpan w:val="2"/>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实训实习工位</w:t>
            </w:r>
          </w:p>
          <w:p>
            <w:pPr>
              <w:jc w:val="center"/>
              <w:rPr>
                <w:rFonts w:asciiTheme="minorEastAsia" w:hAnsiTheme="minorEastAsia" w:cstheme="minorEastAsia"/>
                <w:b/>
                <w:bCs/>
                <w:sz w:val="24"/>
              </w:rPr>
            </w:pPr>
            <w:r>
              <w:rPr>
                <w:rFonts w:hint="eastAsia" w:asciiTheme="minorEastAsia" w:hAnsiTheme="minorEastAsia" w:cstheme="minorEastAsia"/>
                <w:b/>
                <w:bCs/>
                <w:sz w:val="24"/>
              </w:rPr>
              <w:t>（单位：个）</w:t>
            </w:r>
          </w:p>
        </w:tc>
        <w:tc>
          <w:tcPr>
            <w:tcW w:w="2085" w:type="dxa"/>
            <w:gridSpan w:val="2"/>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纸质图书</w:t>
            </w:r>
          </w:p>
          <w:p>
            <w:pPr>
              <w:jc w:val="center"/>
              <w:rPr>
                <w:rFonts w:asciiTheme="minorEastAsia" w:hAnsiTheme="minorEastAsia" w:cstheme="minorEastAsia"/>
                <w:b/>
                <w:bCs/>
                <w:sz w:val="24"/>
              </w:rPr>
            </w:pPr>
            <w:r>
              <w:rPr>
                <w:rFonts w:hint="eastAsia" w:asciiTheme="minorEastAsia" w:hAnsiTheme="minorEastAsia" w:cstheme="minorEastAsia"/>
                <w:b/>
                <w:bCs/>
                <w:sz w:val="24"/>
              </w:rPr>
              <w:t>（单位：册）</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602" w:hRule="atLeast"/>
          <w:jc w:val="center"/>
        </w:trPr>
        <w:tc>
          <w:tcPr>
            <w:tcW w:w="1620" w:type="dxa"/>
            <w:vMerge w:val="continue"/>
            <w:tcBorders>
              <w:tl2br w:val="nil"/>
              <w:tr2bl w:val="nil"/>
            </w:tcBorders>
            <w:shd w:val="clear" w:color="auto" w:fill="5B9BD5"/>
            <w:vAlign w:val="center"/>
          </w:tcPr>
          <w:p>
            <w:pPr>
              <w:jc w:val="center"/>
              <w:rPr>
                <w:rFonts w:asciiTheme="minorEastAsia" w:hAnsiTheme="minorEastAsia" w:cstheme="minorEastAsia"/>
                <w:b/>
                <w:bCs/>
                <w:sz w:val="24"/>
              </w:rPr>
            </w:pPr>
          </w:p>
        </w:tc>
        <w:tc>
          <w:tcPr>
            <w:tcW w:w="1260"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生均</w:t>
            </w:r>
          </w:p>
        </w:tc>
        <w:tc>
          <w:tcPr>
            <w:tcW w:w="990"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增长率</w:t>
            </w:r>
          </w:p>
        </w:tc>
        <w:tc>
          <w:tcPr>
            <w:tcW w:w="1350"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生均</w:t>
            </w:r>
          </w:p>
        </w:tc>
        <w:tc>
          <w:tcPr>
            <w:tcW w:w="975"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增长率</w:t>
            </w:r>
          </w:p>
        </w:tc>
        <w:tc>
          <w:tcPr>
            <w:tcW w:w="1110"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生均</w:t>
            </w:r>
          </w:p>
        </w:tc>
        <w:tc>
          <w:tcPr>
            <w:tcW w:w="975"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增长率</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437" w:hRule="atLeast"/>
          <w:jc w:val="center"/>
        </w:trPr>
        <w:tc>
          <w:tcPr>
            <w:tcW w:w="1620" w:type="dxa"/>
            <w:tcBorders>
              <w:tl2br w:val="nil"/>
              <w:tr2bl w:val="nil"/>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20</w:t>
            </w:r>
            <w:r>
              <w:rPr>
                <w:rFonts w:hint="eastAsia" w:asciiTheme="minorEastAsia" w:hAnsiTheme="minorEastAsia" w:cstheme="minorEastAsia"/>
                <w:b/>
                <w:bCs/>
                <w:sz w:val="24"/>
                <w:lang w:val="en-US" w:eastAsia="zh-CN"/>
              </w:rPr>
              <w:t>20</w:t>
            </w:r>
            <w:r>
              <w:rPr>
                <w:rFonts w:hint="eastAsia" w:asciiTheme="minorEastAsia" w:hAnsiTheme="minorEastAsia" w:cstheme="minorEastAsia"/>
                <w:b/>
                <w:bCs/>
                <w:sz w:val="24"/>
              </w:rPr>
              <w:t>年</w:t>
            </w:r>
          </w:p>
        </w:tc>
        <w:tc>
          <w:tcPr>
            <w:tcW w:w="1260" w:type="dxa"/>
            <w:tcBorders>
              <w:tl2br w:val="nil"/>
              <w:tr2bl w:val="nil"/>
            </w:tcBorders>
            <w:shd w:val="clear" w:color="auto" w:fill="F1F1F1"/>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rPr>
              <w:t>0.</w:t>
            </w:r>
            <w:r>
              <w:rPr>
                <w:rFonts w:hint="eastAsia" w:asciiTheme="minorEastAsia" w:hAnsiTheme="minorEastAsia" w:cstheme="minorEastAsia"/>
                <w:sz w:val="24"/>
                <w:lang w:val="en-US" w:eastAsia="zh-CN"/>
              </w:rPr>
              <w:t>54</w:t>
            </w:r>
          </w:p>
        </w:tc>
        <w:tc>
          <w:tcPr>
            <w:tcW w:w="990" w:type="dxa"/>
            <w:vMerge w:val="restart"/>
            <w:tcBorders>
              <w:tl2br w:val="nil"/>
              <w:tr2bl w:val="nil"/>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lang w:val="en-US" w:eastAsia="zh-CN"/>
              </w:rPr>
              <w:t>12.5</w:t>
            </w:r>
            <w:r>
              <w:rPr>
                <w:rFonts w:hint="eastAsia" w:asciiTheme="minorEastAsia" w:hAnsiTheme="minorEastAsia" w:cstheme="minorEastAsia"/>
                <w:sz w:val="24"/>
              </w:rPr>
              <w:t>%</w:t>
            </w:r>
          </w:p>
        </w:tc>
        <w:tc>
          <w:tcPr>
            <w:tcW w:w="1350" w:type="dxa"/>
            <w:tcBorders>
              <w:tl2br w:val="nil"/>
              <w:tr2bl w:val="nil"/>
            </w:tcBorders>
            <w:shd w:val="clear" w:color="auto" w:fill="F1F1F1"/>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0.4</w:t>
            </w:r>
            <w:r>
              <w:rPr>
                <w:rFonts w:hint="eastAsia" w:asciiTheme="minorEastAsia" w:hAnsiTheme="minorEastAsia" w:cstheme="minorEastAsia"/>
                <w:sz w:val="24"/>
                <w:lang w:val="en-US" w:eastAsia="zh-CN"/>
              </w:rPr>
              <w:t>1</w:t>
            </w:r>
          </w:p>
        </w:tc>
        <w:tc>
          <w:tcPr>
            <w:tcW w:w="975" w:type="dxa"/>
            <w:vMerge w:val="restart"/>
            <w:tcBorders>
              <w:tl2br w:val="nil"/>
              <w:tr2bl w:val="nil"/>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w:t>
            </w:r>
            <w:r>
              <w:rPr>
                <w:rFonts w:hint="eastAsia" w:asciiTheme="minorEastAsia" w:hAnsiTheme="minorEastAsia" w:cstheme="minorEastAsia"/>
                <w:sz w:val="24"/>
                <w:lang w:val="en-US" w:eastAsia="zh-CN"/>
              </w:rPr>
              <w:t>16</w:t>
            </w:r>
            <w:r>
              <w:rPr>
                <w:rFonts w:hint="eastAsia" w:asciiTheme="minorEastAsia" w:hAnsiTheme="minorEastAsia" w:cstheme="minorEastAsia"/>
                <w:sz w:val="24"/>
              </w:rPr>
              <w:t>.</w:t>
            </w:r>
            <w:r>
              <w:rPr>
                <w:rFonts w:hint="eastAsia" w:asciiTheme="minorEastAsia" w:hAnsiTheme="minorEastAsia" w:cstheme="minorEastAsia"/>
                <w:sz w:val="24"/>
                <w:lang w:val="en-US" w:eastAsia="zh-CN"/>
              </w:rPr>
              <w:t>3</w:t>
            </w:r>
            <w:r>
              <w:rPr>
                <w:rFonts w:hint="eastAsia" w:asciiTheme="minorEastAsia" w:hAnsiTheme="minorEastAsia" w:cstheme="minorEastAsia"/>
                <w:sz w:val="24"/>
              </w:rPr>
              <w:t>%</w:t>
            </w:r>
          </w:p>
        </w:tc>
        <w:tc>
          <w:tcPr>
            <w:tcW w:w="1110" w:type="dxa"/>
            <w:tcBorders>
              <w:tl2br w:val="nil"/>
              <w:tr2bl w:val="nil"/>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lang w:val="en-US" w:eastAsia="zh-CN"/>
              </w:rPr>
              <w:t>5</w:t>
            </w:r>
            <w:r>
              <w:rPr>
                <w:rFonts w:hint="eastAsia" w:asciiTheme="minorEastAsia" w:hAnsiTheme="minorEastAsia" w:cstheme="minorEastAsia"/>
                <w:sz w:val="24"/>
              </w:rPr>
              <w:t>.</w:t>
            </w:r>
            <w:r>
              <w:rPr>
                <w:rFonts w:hint="eastAsia" w:asciiTheme="minorEastAsia" w:hAnsiTheme="minorEastAsia" w:cstheme="minorEastAsia"/>
                <w:sz w:val="24"/>
                <w:lang w:val="en-US" w:eastAsia="zh-CN"/>
              </w:rPr>
              <w:t>5</w:t>
            </w:r>
          </w:p>
        </w:tc>
        <w:tc>
          <w:tcPr>
            <w:tcW w:w="975" w:type="dxa"/>
            <w:vMerge w:val="restart"/>
            <w:tcBorders>
              <w:tl2br w:val="nil"/>
              <w:tr2bl w:val="nil"/>
            </w:tcBorders>
            <w:shd w:val="clear" w:color="auto" w:fill="F1F1F1"/>
            <w:vAlign w:val="center"/>
          </w:tcPr>
          <w:p>
            <w:pPr>
              <w:jc w:val="center"/>
              <w:rPr>
                <w:rFonts w:asciiTheme="minorEastAsia" w:hAnsiTheme="minorEastAsia" w:cstheme="minorEastAsia"/>
                <w:sz w:val="24"/>
              </w:rPr>
            </w:pPr>
            <w:r>
              <w:rPr>
                <w:rFonts w:hint="eastAsia" w:asciiTheme="minorEastAsia" w:hAnsiTheme="minorEastAsia" w:cstheme="minorEastAsia"/>
                <w:sz w:val="24"/>
              </w:rPr>
              <w:t>-</w:t>
            </w:r>
            <w:r>
              <w:rPr>
                <w:rFonts w:hint="eastAsia" w:asciiTheme="minorEastAsia" w:hAnsiTheme="minorEastAsia" w:cstheme="minorEastAsia"/>
                <w:sz w:val="24"/>
                <w:lang w:val="en-US" w:eastAsia="zh-CN"/>
              </w:rPr>
              <w:t>31</w:t>
            </w:r>
            <w:r>
              <w:rPr>
                <w:rFonts w:hint="eastAsia" w:asciiTheme="minorEastAsia" w:hAnsiTheme="minorEastAsia" w:cstheme="minorEastAsia"/>
                <w:sz w:val="24"/>
              </w:rPr>
              <w:t>.</w:t>
            </w:r>
            <w:r>
              <w:rPr>
                <w:rFonts w:hint="eastAsia" w:asciiTheme="minorEastAsia" w:hAnsiTheme="minorEastAsia" w:cstheme="minorEastAsia"/>
                <w:sz w:val="24"/>
                <w:lang w:val="en-US" w:eastAsia="zh-CN"/>
              </w:rPr>
              <w:t>4</w:t>
            </w:r>
            <w:r>
              <w:rPr>
                <w:rFonts w:hint="eastAsia" w:asciiTheme="minorEastAsia" w:hAnsiTheme="minorEastAsia" w:cstheme="minorEastAsia"/>
                <w:sz w:val="24"/>
              </w:rPr>
              <w:t>%</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536" w:hRule="atLeast"/>
          <w:jc w:val="center"/>
        </w:trPr>
        <w:tc>
          <w:tcPr>
            <w:tcW w:w="1620" w:type="dxa"/>
            <w:tcBorders>
              <w:tl2br w:val="nil"/>
              <w:tr2bl w:val="nil"/>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201</w:t>
            </w:r>
            <w:r>
              <w:rPr>
                <w:rFonts w:hint="eastAsia" w:asciiTheme="minorEastAsia" w:hAnsiTheme="minorEastAsia" w:cstheme="minorEastAsia"/>
                <w:b/>
                <w:bCs/>
                <w:sz w:val="24"/>
                <w:lang w:val="en-US" w:eastAsia="zh-CN"/>
              </w:rPr>
              <w:t>9</w:t>
            </w:r>
            <w:r>
              <w:rPr>
                <w:rFonts w:hint="eastAsia" w:asciiTheme="minorEastAsia" w:hAnsiTheme="minorEastAsia" w:cstheme="minorEastAsia"/>
                <w:b/>
                <w:bCs/>
                <w:sz w:val="24"/>
              </w:rPr>
              <w:t>年</w:t>
            </w:r>
          </w:p>
        </w:tc>
        <w:tc>
          <w:tcPr>
            <w:tcW w:w="1260" w:type="dxa"/>
            <w:tcBorders>
              <w:tl2br w:val="nil"/>
              <w:tr2bl w:val="nil"/>
            </w:tcBorders>
            <w:shd w:val="clear" w:color="auto" w:fill="F1F1F1"/>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0.4</w:t>
            </w:r>
            <w:r>
              <w:rPr>
                <w:rFonts w:hint="eastAsia" w:asciiTheme="minorEastAsia" w:hAnsiTheme="minorEastAsia" w:cstheme="minorEastAsia"/>
                <w:sz w:val="24"/>
                <w:lang w:val="en-US" w:eastAsia="zh-CN"/>
              </w:rPr>
              <w:t>8</w:t>
            </w:r>
          </w:p>
        </w:tc>
        <w:tc>
          <w:tcPr>
            <w:tcW w:w="990" w:type="dxa"/>
            <w:vMerge w:val="continue"/>
            <w:tcBorders>
              <w:tl2br w:val="nil"/>
              <w:tr2bl w:val="nil"/>
            </w:tcBorders>
            <w:shd w:val="clear" w:color="auto" w:fill="F1F1F1"/>
            <w:vAlign w:val="center"/>
          </w:tcPr>
          <w:p>
            <w:pPr>
              <w:jc w:val="center"/>
              <w:rPr>
                <w:rFonts w:asciiTheme="minorEastAsia" w:hAnsiTheme="minorEastAsia" w:cstheme="minorEastAsia"/>
                <w:sz w:val="24"/>
              </w:rPr>
            </w:pPr>
          </w:p>
        </w:tc>
        <w:tc>
          <w:tcPr>
            <w:tcW w:w="1350" w:type="dxa"/>
            <w:tcBorders>
              <w:tl2br w:val="nil"/>
              <w:tr2bl w:val="nil"/>
            </w:tcBorders>
            <w:shd w:val="clear" w:color="auto" w:fill="F1F1F1"/>
            <w:vAlign w:val="center"/>
          </w:tcPr>
          <w:p>
            <w:pPr>
              <w:jc w:val="center"/>
              <w:rPr>
                <w:rFonts w:hint="eastAsia" w:asciiTheme="minorEastAsia" w:hAnsiTheme="minorEastAsia" w:eastAsiaTheme="minorEastAsia" w:cstheme="minorEastAsia"/>
                <w:sz w:val="24"/>
                <w:lang w:eastAsia="zh-CN"/>
              </w:rPr>
            </w:pPr>
            <w:r>
              <w:rPr>
                <w:rFonts w:hint="eastAsia" w:asciiTheme="minorEastAsia" w:hAnsiTheme="minorEastAsia" w:cstheme="minorEastAsia"/>
                <w:sz w:val="24"/>
              </w:rPr>
              <w:t>0.4</w:t>
            </w:r>
            <w:r>
              <w:rPr>
                <w:rFonts w:hint="eastAsia" w:asciiTheme="minorEastAsia" w:hAnsiTheme="minorEastAsia" w:cstheme="minorEastAsia"/>
                <w:sz w:val="24"/>
                <w:lang w:val="en-US" w:eastAsia="zh-CN"/>
              </w:rPr>
              <w:t>9</w:t>
            </w:r>
          </w:p>
        </w:tc>
        <w:tc>
          <w:tcPr>
            <w:tcW w:w="975" w:type="dxa"/>
            <w:vMerge w:val="continue"/>
            <w:tcBorders>
              <w:tl2br w:val="nil"/>
              <w:tr2bl w:val="nil"/>
            </w:tcBorders>
            <w:shd w:val="clear" w:color="auto" w:fill="F1F1F1"/>
            <w:vAlign w:val="center"/>
          </w:tcPr>
          <w:p>
            <w:pPr>
              <w:jc w:val="center"/>
              <w:rPr>
                <w:rFonts w:asciiTheme="minorEastAsia" w:hAnsiTheme="minorEastAsia" w:cstheme="minorEastAsia"/>
                <w:sz w:val="24"/>
              </w:rPr>
            </w:pPr>
          </w:p>
        </w:tc>
        <w:tc>
          <w:tcPr>
            <w:tcW w:w="1110" w:type="dxa"/>
            <w:tcBorders>
              <w:tl2br w:val="nil"/>
              <w:tr2bl w:val="nil"/>
            </w:tcBorders>
            <w:shd w:val="clear" w:color="auto" w:fill="F1F1F1"/>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rPr>
              <w:t>8.</w:t>
            </w:r>
            <w:r>
              <w:rPr>
                <w:rFonts w:hint="eastAsia" w:asciiTheme="minorEastAsia" w:hAnsiTheme="minorEastAsia" w:cstheme="minorEastAsia"/>
                <w:sz w:val="24"/>
                <w:lang w:val="en-US" w:eastAsia="zh-CN"/>
              </w:rPr>
              <w:t>02</w:t>
            </w:r>
          </w:p>
        </w:tc>
        <w:tc>
          <w:tcPr>
            <w:tcW w:w="975" w:type="dxa"/>
            <w:vMerge w:val="continue"/>
            <w:tcBorders>
              <w:tl2br w:val="nil"/>
              <w:tr2bl w:val="nil"/>
            </w:tcBorders>
            <w:shd w:val="clear" w:color="auto" w:fill="F1F1F1"/>
            <w:vAlign w:val="center"/>
          </w:tcPr>
          <w:p>
            <w:pPr>
              <w:jc w:val="center"/>
              <w:rPr>
                <w:rFonts w:asciiTheme="minorEastAsia" w:hAnsiTheme="minorEastAsia" w:cstheme="minorEastAsia"/>
                <w:sz w:val="24"/>
              </w:rPr>
            </w:pPr>
          </w:p>
        </w:tc>
      </w:tr>
    </w:tbl>
    <w:p>
      <w:pPr>
        <w:pStyle w:val="3"/>
        <w:spacing w:before="312" w:after="312" w:line="500" w:lineRule="exact"/>
      </w:pPr>
      <w:bookmarkStart w:id="33" w:name="_Toc26322"/>
      <w:r>
        <w:rPr>
          <w:rFonts w:hint="eastAsia"/>
        </w:rPr>
        <w:t>2.学生发展</w:t>
      </w:r>
      <w:bookmarkEnd w:id="30"/>
      <w:bookmarkEnd w:id="31"/>
      <w:bookmarkEnd w:id="32"/>
      <w:bookmarkEnd w:id="33"/>
    </w:p>
    <w:p>
      <w:pPr>
        <w:pStyle w:val="4"/>
        <w:spacing w:before="156" w:after="156" w:line="500" w:lineRule="exact"/>
        <w:ind w:firstLine="723"/>
        <w:rPr>
          <w:rFonts w:hint="default"/>
        </w:rPr>
      </w:pPr>
      <w:bookmarkStart w:id="34" w:name="_Toc24111"/>
      <w:bookmarkStart w:id="35" w:name="_Toc16970"/>
      <w:bookmarkStart w:id="36" w:name="_Toc30683"/>
      <w:bookmarkStart w:id="37" w:name="_Toc5584"/>
      <w:r>
        <w:t>2.1学生素质</w:t>
      </w:r>
      <w:bookmarkEnd w:id="34"/>
      <w:bookmarkEnd w:id="35"/>
      <w:bookmarkEnd w:id="36"/>
      <w:bookmarkEnd w:id="37"/>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为了提升学生</w:t>
      </w:r>
      <w:r>
        <w:rPr>
          <w:rFonts w:hint="eastAsia" w:ascii="仿宋_GB2312" w:hAnsi="仿宋_GB2312" w:eastAsia="仿宋_GB2312" w:cs="仿宋_GB2312"/>
          <w:sz w:val="32"/>
          <w:szCs w:val="32"/>
          <w:shd w:val="clear" w:color="auto" w:fill="FDFDFC"/>
          <w:lang w:eastAsia="zh-CN"/>
        </w:rPr>
        <w:t>素养</w:t>
      </w:r>
      <w:r>
        <w:rPr>
          <w:rFonts w:hint="eastAsia" w:ascii="仿宋_GB2312" w:hAnsi="仿宋_GB2312" w:eastAsia="仿宋_GB2312" w:cs="仿宋_GB2312"/>
          <w:sz w:val="32"/>
          <w:szCs w:val="32"/>
          <w:shd w:val="clear" w:color="auto" w:fill="FDFDFC"/>
        </w:rPr>
        <w:t>，我校每年都会利用早操、主题班会、团日活动、专题讲座、黑板报等形式与载体在学生中开展系列主题教育活动，如：入学教育、安全教育、爱国主义教育、诚信教育、感恩教育</w:t>
      </w:r>
      <w:r>
        <w:rPr>
          <w:rFonts w:hint="eastAsia" w:ascii="仿宋_GB2312" w:hAnsi="仿宋_GB2312" w:eastAsia="仿宋_GB2312" w:cs="仿宋_GB2312"/>
          <w:sz w:val="32"/>
          <w:szCs w:val="32"/>
          <w:shd w:val="clear" w:color="auto" w:fill="FDFDFC"/>
          <w:lang w:eastAsia="zh-CN"/>
        </w:rPr>
        <w:t>、劳动教育</w:t>
      </w:r>
      <w:r>
        <w:rPr>
          <w:rFonts w:hint="eastAsia" w:ascii="仿宋_GB2312" w:hAnsi="仿宋_GB2312" w:eastAsia="仿宋_GB2312" w:cs="仿宋_GB2312"/>
          <w:sz w:val="32"/>
          <w:szCs w:val="32"/>
          <w:shd w:val="clear" w:color="auto" w:fill="FDFDFC"/>
        </w:rPr>
        <w:t>等。让每一位学生充分参与其中，养成良好的行为习惯。通过开展这一系列主题教育活动，我校学生的综合素养获得了较大提升，校园处处呈现出文明和谐的气息。</w:t>
      </w:r>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学校按照人才培养方案开展理论和实践教学，20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年学校文化课合格率达</w:t>
      </w:r>
      <w:r>
        <w:rPr>
          <w:rFonts w:hint="eastAsia" w:ascii="仿宋_GB2312" w:hAnsi="仿宋_GB2312" w:eastAsia="仿宋_GB2312" w:cs="仿宋_GB2312"/>
          <w:sz w:val="32"/>
          <w:szCs w:val="32"/>
          <w:shd w:val="clear" w:color="auto" w:fill="FDFDFC"/>
          <w:lang w:val="en-US" w:eastAsia="zh-CN"/>
        </w:rPr>
        <w:t>91.4</w:t>
      </w:r>
      <w:r>
        <w:rPr>
          <w:rFonts w:hint="eastAsia" w:ascii="仿宋_GB2312" w:hAnsi="仿宋_GB2312" w:eastAsia="仿宋_GB2312" w:cs="仿宋_GB2312"/>
          <w:sz w:val="32"/>
          <w:szCs w:val="32"/>
          <w:shd w:val="clear" w:color="auto" w:fill="FDFDFC"/>
        </w:rPr>
        <w:t>%，专业技能合格率达9</w:t>
      </w:r>
      <w:r>
        <w:rPr>
          <w:rFonts w:hint="eastAsia" w:ascii="仿宋_GB2312" w:hAnsi="仿宋_GB2312" w:eastAsia="仿宋_GB2312" w:cs="仿宋_GB2312"/>
          <w:sz w:val="32"/>
          <w:szCs w:val="32"/>
          <w:shd w:val="clear" w:color="auto" w:fill="FDFDFC"/>
          <w:lang w:val="en-US" w:eastAsia="zh-CN"/>
        </w:rPr>
        <w:t>1</w:t>
      </w:r>
      <w:r>
        <w:rPr>
          <w:rFonts w:hint="eastAsia" w:ascii="仿宋_GB2312" w:hAnsi="仿宋_GB2312" w:eastAsia="仿宋_GB2312" w:cs="仿宋_GB2312"/>
          <w:sz w:val="32"/>
          <w:szCs w:val="32"/>
          <w:shd w:val="clear" w:color="auto" w:fill="FDFDFC"/>
        </w:rPr>
        <w:t>.8%，体质测评合格率达98.</w:t>
      </w:r>
      <w:r>
        <w:rPr>
          <w:rFonts w:hint="eastAsia" w:ascii="仿宋_GB2312" w:hAnsi="仿宋_GB2312" w:eastAsia="仿宋_GB2312" w:cs="仿宋_GB2312"/>
          <w:sz w:val="32"/>
          <w:szCs w:val="32"/>
          <w:shd w:val="clear" w:color="auto" w:fill="FDFDFC"/>
          <w:lang w:val="en-US" w:eastAsia="zh-CN"/>
        </w:rPr>
        <w:t>3</w:t>
      </w:r>
      <w:r>
        <w:rPr>
          <w:rFonts w:hint="eastAsia" w:ascii="仿宋_GB2312" w:hAnsi="仿宋_GB2312" w:eastAsia="仿宋_GB2312" w:cs="仿宋_GB2312"/>
          <w:sz w:val="32"/>
          <w:szCs w:val="32"/>
          <w:shd w:val="clear" w:color="auto" w:fill="FDFDFC"/>
        </w:rPr>
        <w:t>%；20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届毕业生9</w:t>
      </w:r>
      <w:r>
        <w:rPr>
          <w:rFonts w:hint="eastAsia" w:ascii="仿宋_GB2312" w:hAnsi="仿宋_GB2312" w:eastAsia="仿宋_GB2312" w:cs="仿宋_GB2312"/>
          <w:sz w:val="32"/>
          <w:szCs w:val="32"/>
          <w:shd w:val="clear" w:color="auto" w:fill="FDFDFC"/>
          <w:lang w:val="en-US" w:eastAsia="zh-CN"/>
        </w:rPr>
        <w:t>8</w:t>
      </w:r>
      <w:r>
        <w:rPr>
          <w:rFonts w:hint="eastAsia" w:ascii="仿宋_GB2312" w:hAnsi="仿宋_GB2312" w:eastAsia="仿宋_GB2312" w:cs="仿宋_GB2312"/>
          <w:sz w:val="32"/>
          <w:szCs w:val="32"/>
          <w:shd w:val="clear" w:color="auto" w:fill="FDFDFC"/>
        </w:rPr>
        <w:t>5名，</w:t>
      </w:r>
      <w:r>
        <w:rPr>
          <w:rFonts w:hint="eastAsia" w:ascii="仿宋_GB2312" w:hAnsi="仿宋_GB2312" w:eastAsia="仿宋_GB2312" w:cs="仿宋_GB2312"/>
          <w:sz w:val="32"/>
          <w:szCs w:val="32"/>
          <w:shd w:val="clear" w:color="auto" w:fill="FDFDFC"/>
          <w:lang w:eastAsia="zh-CN"/>
        </w:rPr>
        <w:t>职业技能鉴定通过率</w:t>
      </w:r>
      <w:r>
        <w:rPr>
          <w:rFonts w:hint="eastAsia" w:ascii="仿宋_GB2312" w:hAnsi="仿宋_GB2312" w:eastAsia="仿宋_GB2312" w:cs="仿宋_GB2312"/>
          <w:sz w:val="32"/>
          <w:szCs w:val="32"/>
          <w:shd w:val="clear" w:color="auto" w:fill="FDFDFC"/>
          <w:lang w:val="en-US" w:eastAsia="zh-CN"/>
        </w:rPr>
        <w:t>98%</w:t>
      </w:r>
      <w:r>
        <w:rPr>
          <w:rFonts w:hint="eastAsia" w:ascii="仿宋_GB2312" w:hAnsi="仿宋_GB2312" w:eastAsia="仿宋_GB2312" w:cs="仿宋_GB2312"/>
          <w:sz w:val="32"/>
          <w:szCs w:val="32"/>
          <w:shd w:val="clear" w:color="auto" w:fill="FDFDFC"/>
        </w:rPr>
        <w:t>，毕业率达100%。</w:t>
      </w:r>
    </w:p>
    <w:p>
      <w:pPr>
        <w:pStyle w:val="4"/>
        <w:spacing w:before="156" w:after="156" w:line="500" w:lineRule="exact"/>
        <w:ind w:firstLine="723"/>
        <w:rPr>
          <w:rFonts w:hint="default"/>
          <w:highlight w:val="yellow"/>
        </w:rPr>
      </w:pPr>
      <w:bookmarkStart w:id="38" w:name="_Toc11557"/>
      <w:bookmarkStart w:id="39" w:name="_Toc5719"/>
      <w:bookmarkStart w:id="40" w:name="_Toc23135"/>
      <w:bookmarkStart w:id="41" w:name="_Toc18065"/>
      <w:r>
        <w:t>2.2在校体验</w:t>
      </w:r>
      <w:bookmarkEnd w:id="38"/>
      <w:bookmarkEnd w:id="39"/>
      <w:bookmarkEnd w:id="40"/>
      <w:bookmarkEnd w:id="41"/>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学校建立学生、毕业生、家长、用人单位满意度调查制度，并根据多方反馈进一步完善自身不足。为全面监测学生在校期间学习、生活等感受，学校每个学期均开展纸质问卷调查，结果如下：</w:t>
      </w:r>
    </w:p>
    <w:p>
      <w:pPr>
        <w:spacing w:line="500" w:lineRule="exact"/>
        <w:jc w:val="center"/>
        <w:rPr>
          <w:b/>
          <w:bCs/>
          <w:sz w:val="24"/>
        </w:rPr>
      </w:pPr>
      <w:r>
        <w:rPr>
          <w:rFonts w:hint="eastAsia"/>
          <w:b/>
          <w:bCs/>
          <w:sz w:val="24"/>
        </w:rPr>
        <w:t>表</w:t>
      </w:r>
      <w:r>
        <w:rPr>
          <w:rFonts w:hint="eastAsia" w:asciiTheme="minorEastAsia" w:hAnsiTheme="minorEastAsia" w:cstheme="minorEastAsia"/>
          <w:b/>
          <w:bCs/>
          <w:sz w:val="24"/>
        </w:rPr>
        <w:t>7</w:t>
      </w:r>
      <w:r>
        <w:rPr>
          <w:rFonts w:hint="eastAsia"/>
          <w:b/>
          <w:bCs/>
          <w:sz w:val="24"/>
        </w:rPr>
        <w:t>：学生在校体验调查问卷统计表</w:t>
      </w:r>
    </w:p>
    <w:tbl>
      <w:tblPr>
        <w:tblStyle w:val="13"/>
        <w:tblW w:w="8581" w:type="dxa"/>
        <w:jc w:val="center"/>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1266"/>
        <w:gridCol w:w="912"/>
        <w:gridCol w:w="829"/>
        <w:gridCol w:w="967"/>
        <w:gridCol w:w="1892"/>
        <w:gridCol w:w="2715"/>
      </w:tblGrid>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项目</w:t>
            </w:r>
          </w:p>
        </w:tc>
        <w:tc>
          <w:tcPr>
            <w:tcW w:w="912" w:type="dxa"/>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满意比率</w:t>
            </w:r>
          </w:p>
        </w:tc>
        <w:tc>
          <w:tcPr>
            <w:tcW w:w="829" w:type="dxa"/>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一般比率</w:t>
            </w:r>
          </w:p>
        </w:tc>
        <w:tc>
          <w:tcPr>
            <w:tcW w:w="967" w:type="dxa"/>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不满意比率</w:t>
            </w:r>
          </w:p>
        </w:tc>
        <w:tc>
          <w:tcPr>
            <w:tcW w:w="1892" w:type="dxa"/>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存在问题</w:t>
            </w:r>
          </w:p>
        </w:tc>
        <w:tc>
          <w:tcPr>
            <w:tcW w:w="2715" w:type="dxa"/>
            <w:tcBorders>
              <w:tl2br w:val="nil"/>
              <w:tr2bl w:val="nil"/>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改进建议</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理论学习满意度</w:t>
            </w:r>
          </w:p>
        </w:tc>
        <w:tc>
          <w:tcPr>
            <w:tcW w:w="912"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lang w:val="en-US" w:eastAsia="zh-CN"/>
              </w:rPr>
              <w:t>60</w:t>
            </w:r>
            <w:r>
              <w:rPr>
                <w:rFonts w:hint="eastAsia" w:ascii="宋体" w:hAnsi="宋体" w:cs="宋体"/>
                <w:color w:val="auto"/>
                <w:sz w:val="24"/>
              </w:rPr>
              <w:t>%</w:t>
            </w:r>
          </w:p>
        </w:tc>
        <w:tc>
          <w:tcPr>
            <w:tcW w:w="829"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lang w:val="en-US" w:eastAsia="zh-CN"/>
              </w:rPr>
              <w:t>38</w:t>
            </w:r>
            <w:r>
              <w:rPr>
                <w:rFonts w:hint="eastAsia" w:ascii="宋体" w:hAnsi="宋体" w:cs="宋体"/>
                <w:color w:val="auto"/>
                <w:sz w:val="24"/>
              </w:rPr>
              <w:t>%</w:t>
            </w:r>
          </w:p>
        </w:tc>
        <w:tc>
          <w:tcPr>
            <w:tcW w:w="967"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rPr>
              <w:t>2%</w:t>
            </w:r>
          </w:p>
        </w:tc>
        <w:tc>
          <w:tcPr>
            <w:tcW w:w="1892"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w:t>
            </w:r>
            <w:r>
              <w:rPr>
                <w:rFonts w:hint="eastAsia" w:ascii="宋体" w:hAnsi="宋体" w:cs="宋体"/>
                <w:color w:val="auto"/>
                <w:sz w:val="24"/>
                <w:lang w:eastAsia="zh-CN"/>
              </w:rPr>
              <w:t>标准</w:t>
            </w:r>
            <w:r>
              <w:rPr>
                <w:rFonts w:hint="eastAsia" w:ascii="宋体" w:hAnsi="宋体" w:cs="宋体"/>
                <w:color w:val="auto"/>
                <w:sz w:val="24"/>
                <w:lang w:val="en-US" w:eastAsia="zh-CN"/>
              </w:rPr>
              <w:t>400米运动场尽快完工2</w:t>
            </w:r>
            <w:r>
              <w:rPr>
                <w:rFonts w:hint="eastAsia" w:ascii="宋体" w:hAnsi="宋体" w:cs="宋体"/>
                <w:color w:val="auto"/>
                <w:sz w:val="24"/>
              </w:rPr>
              <w:t>.教学比较枯燥</w:t>
            </w:r>
          </w:p>
        </w:tc>
        <w:tc>
          <w:tcPr>
            <w:tcW w:w="2715"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.尽快建好室外运动场</w:t>
            </w:r>
          </w:p>
          <w:p>
            <w:pPr>
              <w:jc w:val="center"/>
              <w:rPr>
                <w:rFonts w:hint="eastAsia"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.运用多样化的教学方式，使教学形象生动</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专业学习满意度</w:t>
            </w:r>
          </w:p>
        </w:tc>
        <w:tc>
          <w:tcPr>
            <w:tcW w:w="912" w:type="dxa"/>
            <w:tcBorders>
              <w:tl2br w:val="nil"/>
              <w:tr2bl w:val="nil"/>
            </w:tcBorders>
            <w:shd w:val="clear" w:color="auto" w:fill="9CC2E5"/>
            <w:vAlign w:val="center"/>
          </w:tcPr>
          <w:p>
            <w:pPr>
              <w:jc w:val="center"/>
              <w:rPr>
                <w:rFonts w:hint="eastAsia" w:ascii="宋体" w:hAnsi="宋体" w:cs="宋体"/>
                <w:color w:val="auto"/>
                <w:sz w:val="24"/>
              </w:rPr>
            </w:pPr>
            <w:r>
              <w:rPr>
                <w:rFonts w:hint="eastAsia" w:ascii="宋体" w:hAnsi="宋体" w:cs="宋体"/>
                <w:color w:val="auto"/>
                <w:sz w:val="24"/>
                <w:lang w:val="en-US" w:eastAsia="zh-CN"/>
              </w:rPr>
              <w:t>70</w:t>
            </w:r>
            <w:r>
              <w:rPr>
                <w:rFonts w:hint="eastAsia" w:ascii="宋体" w:hAnsi="宋体" w:cs="宋体"/>
                <w:color w:val="auto"/>
                <w:sz w:val="24"/>
              </w:rPr>
              <w:t>%</w:t>
            </w:r>
          </w:p>
        </w:tc>
        <w:tc>
          <w:tcPr>
            <w:tcW w:w="829" w:type="dxa"/>
            <w:tcBorders>
              <w:tl2br w:val="nil"/>
              <w:tr2bl w:val="nil"/>
            </w:tcBorders>
            <w:shd w:val="clear" w:color="auto" w:fill="9CC2E5"/>
            <w:vAlign w:val="center"/>
          </w:tcPr>
          <w:p>
            <w:pPr>
              <w:jc w:val="center"/>
              <w:rPr>
                <w:rFonts w:hint="eastAsia" w:ascii="宋体" w:hAnsi="宋体" w:cs="宋体"/>
                <w:color w:val="auto"/>
                <w:sz w:val="24"/>
              </w:rPr>
            </w:pPr>
            <w:r>
              <w:rPr>
                <w:rFonts w:hint="eastAsia" w:ascii="宋体" w:hAnsi="宋体" w:cs="宋体"/>
                <w:color w:val="auto"/>
                <w:sz w:val="24"/>
                <w:lang w:val="en-US" w:eastAsia="zh-CN"/>
              </w:rPr>
              <w:t>29</w:t>
            </w:r>
            <w:r>
              <w:rPr>
                <w:rFonts w:hint="eastAsia" w:ascii="宋体" w:hAnsi="宋体" w:cs="宋体"/>
                <w:color w:val="auto"/>
                <w:sz w:val="24"/>
              </w:rPr>
              <w:t>%</w:t>
            </w:r>
          </w:p>
        </w:tc>
        <w:tc>
          <w:tcPr>
            <w:tcW w:w="967" w:type="dxa"/>
            <w:tcBorders>
              <w:tl2br w:val="nil"/>
              <w:tr2bl w:val="nil"/>
            </w:tcBorders>
            <w:shd w:val="clear" w:color="auto" w:fill="9CC2E5"/>
            <w:vAlign w:val="center"/>
          </w:tcPr>
          <w:p>
            <w:pPr>
              <w:jc w:val="center"/>
              <w:rPr>
                <w:rFonts w:hint="eastAsia" w:ascii="宋体" w:hAnsi="宋体" w:cs="宋体"/>
                <w:color w:val="auto"/>
                <w:sz w:val="24"/>
              </w:rPr>
            </w:pPr>
            <w:r>
              <w:rPr>
                <w:rFonts w:hint="eastAsia" w:ascii="宋体" w:hAnsi="宋体" w:cs="宋体"/>
                <w:color w:val="auto"/>
                <w:sz w:val="24"/>
              </w:rPr>
              <w:t>1%</w:t>
            </w:r>
          </w:p>
        </w:tc>
        <w:tc>
          <w:tcPr>
            <w:tcW w:w="1892" w:type="dxa"/>
            <w:tcBorders>
              <w:tl2br w:val="nil"/>
              <w:tr2bl w:val="nil"/>
            </w:tcBorders>
            <w:shd w:val="clear" w:color="auto" w:fill="9CC2E5"/>
            <w:vAlign w:val="center"/>
          </w:tcPr>
          <w:p>
            <w:pPr>
              <w:jc w:val="center"/>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w:t>
            </w:r>
            <w:r>
              <w:rPr>
                <w:rFonts w:hint="eastAsia" w:ascii="宋体" w:hAnsi="宋体" w:cs="宋体"/>
                <w:color w:val="auto"/>
                <w:sz w:val="24"/>
                <w:lang w:eastAsia="zh-CN"/>
              </w:rPr>
              <w:t>个别专业</w:t>
            </w:r>
            <w:r>
              <w:rPr>
                <w:rFonts w:hint="eastAsia" w:ascii="宋体" w:hAnsi="宋体" w:cs="宋体"/>
                <w:color w:val="auto"/>
                <w:sz w:val="24"/>
              </w:rPr>
              <w:t>实训课</w:t>
            </w:r>
            <w:r>
              <w:rPr>
                <w:rFonts w:hint="eastAsia" w:ascii="宋体" w:hAnsi="宋体" w:cs="宋体"/>
                <w:color w:val="auto"/>
                <w:sz w:val="24"/>
                <w:lang w:eastAsia="zh-CN"/>
              </w:rPr>
              <w:t>工位不够</w:t>
            </w:r>
            <w:r>
              <w:rPr>
                <w:rFonts w:hint="eastAsia" w:ascii="宋体" w:hAnsi="宋体" w:cs="宋体"/>
                <w:color w:val="auto"/>
                <w:sz w:val="24"/>
                <w:lang w:val="en-US" w:eastAsia="zh-CN"/>
              </w:rPr>
              <w:t>2</w:t>
            </w:r>
            <w:r>
              <w:rPr>
                <w:rFonts w:hint="eastAsia" w:ascii="宋体" w:hAnsi="宋体" w:cs="宋体"/>
                <w:color w:val="auto"/>
                <w:sz w:val="24"/>
              </w:rPr>
              <w:t>.个别课程老师换得频繁</w:t>
            </w:r>
          </w:p>
        </w:tc>
        <w:tc>
          <w:tcPr>
            <w:tcW w:w="2715" w:type="dxa"/>
            <w:tcBorders>
              <w:tl2br w:val="nil"/>
              <w:tr2bl w:val="nil"/>
            </w:tcBorders>
            <w:shd w:val="clear" w:color="auto" w:fill="9CC2E5"/>
            <w:vAlign w:val="center"/>
          </w:tcPr>
          <w:p>
            <w:pPr>
              <w:jc w:val="center"/>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.多安排实训课程</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实习实训满意度</w:t>
            </w:r>
          </w:p>
        </w:tc>
        <w:tc>
          <w:tcPr>
            <w:tcW w:w="912"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lang w:val="en-US" w:eastAsia="zh-CN"/>
              </w:rPr>
              <w:t>70</w:t>
            </w:r>
            <w:r>
              <w:rPr>
                <w:rFonts w:hint="eastAsia" w:ascii="宋体" w:hAnsi="宋体" w:cs="宋体"/>
                <w:color w:val="auto"/>
                <w:sz w:val="24"/>
              </w:rPr>
              <w:t>%</w:t>
            </w:r>
          </w:p>
        </w:tc>
        <w:tc>
          <w:tcPr>
            <w:tcW w:w="829"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lang w:val="en-US" w:eastAsia="zh-CN"/>
              </w:rPr>
              <w:t>29</w:t>
            </w:r>
            <w:r>
              <w:rPr>
                <w:rFonts w:hint="eastAsia" w:ascii="宋体" w:hAnsi="宋体" w:cs="宋体"/>
                <w:color w:val="auto"/>
                <w:sz w:val="24"/>
              </w:rPr>
              <w:t>%</w:t>
            </w:r>
          </w:p>
        </w:tc>
        <w:tc>
          <w:tcPr>
            <w:tcW w:w="967"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rPr>
              <w:t>1%</w:t>
            </w:r>
          </w:p>
        </w:tc>
        <w:tc>
          <w:tcPr>
            <w:tcW w:w="1892"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rPr>
              <w:t>1.实训设备数量无法满足教学2.有些设备较老旧3.设备维修有时不及时</w:t>
            </w:r>
          </w:p>
        </w:tc>
        <w:tc>
          <w:tcPr>
            <w:tcW w:w="2715" w:type="dxa"/>
            <w:tcBorders>
              <w:tl2br w:val="nil"/>
              <w:tr2bl w:val="nil"/>
            </w:tcBorders>
            <w:shd w:val="clear" w:color="auto" w:fill="F1F1F1"/>
            <w:vAlign w:val="center"/>
          </w:tcPr>
          <w:p>
            <w:pPr>
              <w:jc w:val="center"/>
              <w:rPr>
                <w:rFonts w:hint="eastAsia" w:ascii="宋体" w:hAnsi="宋体" w:cs="宋体"/>
                <w:color w:val="auto"/>
                <w:sz w:val="24"/>
              </w:rPr>
            </w:pPr>
            <w:r>
              <w:rPr>
                <w:rFonts w:hint="eastAsia" w:ascii="宋体" w:hAnsi="宋体" w:cs="宋体"/>
                <w:color w:val="auto"/>
                <w:sz w:val="24"/>
              </w:rPr>
              <w:t>1.多建一些微机房</w:t>
            </w:r>
          </w:p>
          <w:p>
            <w:pPr>
              <w:jc w:val="center"/>
              <w:rPr>
                <w:rFonts w:hint="eastAsia" w:ascii="宋体" w:hAnsi="宋体" w:cs="宋体"/>
                <w:color w:val="auto"/>
                <w:sz w:val="24"/>
              </w:rPr>
            </w:pPr>
            <w:r>
              <w:rPr>
                <w:rFonts w:hint="eastAsia" w:ascii="宋体" w:hAnsi="宋体" w:cs="宋体"/>
                <w:color w:val="auto"/>
                <w:sz w:val="24"/>
              </w:rPr>
              <w:t>2.更换一些老旧设备</w:t>
            </w:r>
          </w:p>
          <w:p>
            <w:pPr>
              <w:jc w:val="center"/>
              <w:rPr>
                <w:rFonts w:hint="eastAsia" w:ascii="宋体" w:hAnsi="宋体" w:cs="宋体"/>
                <w:color w:val="auto"/>
                <w:sz w:val="24"/>
              </w:rPr>
            </w:pPr>
            <w:r>
              <w:rPr>
                <w:rFonts w:hint="eastAsia" w:ascii="宋体" w:hAnsi="宋体" w:cs="宋体"/>
                <w:color w:val="auto"/>
                <w:sz w:val="24"/>
              </w:rPr>
              <w:t>3.教学实训设备及时维修</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对校园文化与社团活动满意度</w:t>
            </w:r>
          </w:p>
        </w:tc>
        <w:tc>
          <w:tcPr>
            <w:tcW w:w="912" w:type="dxa"/>
            <w:tcBorders>
              <w:tl2br w:val="nil"/>
              <w:tr2bl w:val="nil"/>
            </w:tcBorders>
            <w:shd w:val="clear" w:color="auto" w:fill="9CC2E5"/>
            <w:vAlign w:val="center"/>
          </w:tcPr>
          <w:p>
            <w:pPr>
              <w:jc w:val="center"/>
              <w:rPr>
                <w:rFonts w:asciiTheme="minorEastAsia" w:hAnsiTheme="minorEastAsia" w:cstheme="minorEastAsia"/>
                <w:color w:val="auto"/>
                <w:sz w:val="24"/>
              </w:rPr>
            </w:pPr>
            <w:r>
              <w:rPr>
                <w:rFonts w:hint="eastAsia" w:ascii="宋体" w:hAnsi="宋体" w:cs="宋体"/>
                <w:color w:val="auto"/>
                <w:sz w:val="24"/>
              </w:rPr>
              <w:t>9</w:t>
            </w:r>
            <w:r>
              <w:rPr>
                <w:rFonts w:hint="eastAsia" w:ascii="宋体" w:hAnsi="宋体" w:cs="宋体"/>
                <w:color w:val="auto"/>
                <w:sz w:val="24"/>
                <w:lang w:val="en-US" w:eastAsia="zh-CN"/>
              </w:rPr>
              <w:t>5</w:t>
            </w:r>
            <w:r>
              <w:rPr>
                <w:rFonts w:hint="eastAsia" w:ascii="宋体" w:hAnsi="宋体" w:cs="宋体"/>
                <w:color w:val="auto"/>
                <w:sz w:val="24"/>
              </w:rPr>
              <w:t>%</w:t>
            </w:r>
          </w:p>
        </w:tc>
        <w:tc>
          <w:tcPr>
            <w:tcW w:w="829" w:type="dxa"/>
            <w:tcBorders>
              <w:tl2br w:val="nil"/>
              <w:tr2bl w:val="nil"/>
            </w:tcBorders>
            <w:shd w:val="clear" w:color="auto" w:fill="9CC2E5"/>
            <w:vAlign w:val="center"/>
          </w:tcPr>
          <w:p>
            <w:pPr>
              <w:jc w:val="center"/>
              <w:rPr>
                <w:rFonts w:asciiTheme="minorEastAsia" w:hAnsiTheme="minorEastAsia" w:cstheme="minorEastAsia"/>
                <w:color w:val="auto"/>
                <w:sz w:val="24"/>
              </w:rPr>
            </w:pPr>
            <w:r>
              <w:rPr>
                <w:rFonts w:hint="eastAsia" w:ascii="宋体" w:hAnsi="宋体" w:cs="宋体"/>
                <w:color w:val="auto"/>
                <w:sz w:val="24"/>
                <w:lang w:val="en-US" w:eastAsia="zh-CN"/>
              </w:rPr>
              <w:t>4</w:t>
            </w:r>
            <w:r>
              <w:rPr>
                <w:rFonts w:hint="eastAsia" w:ascii="宋体" w:hAnsi="宋体" w:cs="宋体"/>
                <w:color w:val="auto"/>
                <w:sz w:val="24"/>
              </w:rPr>
              <w:t>%</w:t>
            </w:r>
          </w:p>
        </w:tc>
        <w:tc>
          <w:tcPr>
            <w:tcW w:w="967" w:type="dxa"/>
            <w:tcBorders>
              <w:tl2br w:val="nil"/>
              <w:tr2bl w:val="nil"/>
            </w:tcBorders>
            <w:shd w:val="clear" w:color="auto" w:fill="9CC2E5"/>
            <w:vAlign w:val="center"/>
          </w:tcPr>
          <w:p>
            <w:pPr>
              <w:jc w:val="center"/>
              <w:rPr>
                <w:rFonts w:asciiTheme="minorEastAsia" w:hAnsiTheme="minorEastAsia" w:cstheme="minorEastAsia"/>
                <w:color w:val="auto"/>
                <w:sz w:val="24"/>
              </w:rPr>
            </w:pPr>
            <w:r>
              <w:rPr>
                <w:rFonts w:hint="eastAsia" w:ascii="宋体" w:hAnsi="宋体" w:cs="宋体"/>
                <w:color w:val="auto"/>
                <w:sz w:val="24"/>
              </w:rPr>
              <w:t>1%</w:t>
            </w:r>
          </w:p>
        </w:tc>
        <w:tc>
          <w:tcPr>
            <w:tcW w:w="1892" w:type="dxa"/>
            <w:tcBorders>
              <w:tl2br w:val="nil"/>
              <w:tr2bl w:val="nil"/>
            </w:tcBorders>
            <w:shd w:val="clear" w:color="auto" w:fill="9CC2E5"/>
            <w:vAlign w:val="center"/>
          </w:tcPr>
          <w:p>
            <w:pPr>
              <w:jc w:val="center"/>
              <w:rPr>
                <w:rFonts w:asciiTheme="minorEastAsia" w:hAnsiTheme="minorEastAsia" w:cstheme="minorEastAsia"/>
                <w:color w:val="auto"/>
                <w:sz w:val="24"/>
              </w:rPr>
            </w:pPr>
            <w:r>
              <w:rPr>
                <w:rFonts w:hint="eastAsia" w:ascii="宋体" w:hAnsi="宋体" w:cs="宋体"/>
                <w:color w:val="auto"/>
                <w:sz w:val="24"/>
              </w:rPr>
              <w:t>社团过少，社团活动不够丰富</w:t>
            </w:r>
          </w:p>
        </w:tc>
        <w:tc>
          <w:tcPr>
            <w:tcW w:w="2715" w:type="dxa"/>
            <w:tcBorders>
              <w:tl2br w:val="nil"/>
              <w:tr2bl w:val="nil"/>
            </w:tcBorders>
            <w:shd w:val="clear" w:color="auto" w:fill="9CC2E5"/>
            <w:vAlign w:val="center"/>
          </w:tcPr>
          <w:p>
            <w:pPr>
              <w:jc w:val="center"/>
              <w:rPr>
                <w:rFonts w:asciiTheme="minorEastAsia" w:hAnsiTheme="minorEastAsia" w:cstheme="minorEastAsia"/>
                <w:color w:val="auto"/>
                <w:sz w:val="24"/>
              </w:rPr>
            </w:pPr>
            <w:r>
              <w:rPr>
                <w:rFonts w:hint="eastAsia" w:ascii="宋体" w:hAnsi="宋体" w:cs="宋体"/>
                <w:color w:val="auto"/>
                <w:sz w:val="24"/>
              </w:rPr>
              <w:t>多开展社团活动、加强社团管理制度的建设</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F1F1F1"/>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对生活满意度</w:t>
            </w:r>
          </w:p>
        </w:tc>
        <w:tc>
          <w:tcPr>
            <w:tcW w:w="912" w:type="dxa"/>
            <w:tcBorders>
              <w:tl2br w:val="nil"/>
              <w:tr2bl w:val="nil"/>
            </w:tcBorders>
            <w:shd w:val="clear" w:color="auto" w:fill="F1F1F1"/>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86%</w:t>
            </w:r>
          </w:p>
        </w:tc>
        <w:tc>
          <w:tcPr>
            <w:tcW w:w="829" w:type="dxa"/>
            <w:tcBorders>
              <w:tl2br w:val="nil"/>
              <w:tr2bl w:val="nil"/>
            </w:tcBorders>
            <w:shd w:val="clear" w:color="auto" w:fill="F1F1F1"/>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10%</w:t>
            </w:r>
          </w:p>
        </w:tc>
        <w:tc>
          <w:tcPr>
            <w:tcW w:w="967" w:type="dxa"/>
            <w:tcBorders>
              <w:tl2br w:val="nil"/>
              <w:tr2bl w:val="nil"/>
            </w:tcBorders>
            <w:shd w:val="clear" w:color="auto" w:fill="F1F1F1"/>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4%</w:t>
            </w:r>
          </w:p>
        </w:tc>
        <w:tc>
          <w:tcPr>
            <w:tcW w:w="1892" w:type="dxa"/>
            <w:tcBorders>
              <w:tl2br w:val="nil"/>
              <w:tr2bl w:val="nil"/>
            </w:tcBorders>
            <w:shd w:val="clear" w:color="auto" w:fill="F1F1F1"/>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1.欧斯麦食堂饭菜偏辣、冷冻食品过多2.宿舍冬季热水供应不足、经常出现断电现象</w:t>
            </w:r>
          </w:p>
        </w:tc>
        <w:tc>
          <w:tcPr>
            <w:tcW w:w="2715" w:type="dxa"/>
            <w:tcBorders>
              <w:tl2br w:val="nil"/>
              <w:tr2bl w:val="nil"/>
            </w:tcBorders>
            <w:shd w:val="clear" w:color="auto" w:fill="F1F1F1"/>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1.学校跟食堂承包商协商、改善菜样品种，多做新鲜蔬菜及肉类品</w:t>
            </w:r>
          </w:p>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2.及时安排维修人员检修</w:t>
            </w:r>
          </w:p>
        </w:tc>
      </w:tr>
      <w:tr>
        <w:tblPrEx>
          <w:tblBorders>
            <w:top w:val="single" w:color="FFFFFF" w:themeColor="background1" w:sz="6" w:space="0"/>
            <w:left w:val="single" w:color="FFFFFF" w:themeColor="background1" w:sz="6" w:space="0"/>
            <w:bottom w:val="single" w:color="FFFFFF" w:themeColor="background1" w:sz="6" w:space="0"/>
            <w:right w:val="single" w:color="FFFFFF" w:themeColor="background1" w:sz="6" w:space="0"/>
            <w:insideH w:val="single" w:color="FFFFFF" w:themeColor="background1" w:sz="6" w:space="0"/>
            <w:insideV w:val="single" w:color="FFFFFF" w:themeColor="background1" w:sz="6" w:space="0"/>
          </w:tblBorders>
          <w:tblCellMar>
            <w:top w:w="0" w:type="dxa"/>
            <w:left w:w="108" w:type="dxa"/>
            <w:bottom w:w="0" w:type="dxa"/>
            <w:right w:w="108" w:type="dxa"/>
          </w:tblCellMar>
        </w:tblPrEx>
        <w:trPr>
          <w:trHeight w:val="1023" w:hRule="atLeast"/>
          <w:jc w:val="center"/>
        </w:trPr>
        <w:tc>
          <w:tcPr>
            <w:tcW w:w="1266" w:type="dxa"/>
            <w:tcBorders>
              <w:tl2br w:val="nil"/>
              <w:tr2bl w:val="nil"/>
            </w:tcBorders>
            <w:shd w:val="clear" w:color="auto" w:fill="9CC2E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对校园安全满意度</w:t>
            </w:r>
          </w:p>
        </w:tc>
        <w:tc>
          <w:tcPr>
            <w:tcW w:w="912" w:type="dxa"/>
            <w:tcBorders>
              <w:tl2br w:val="nil"/>
              <w:tr2bl w:val="nil"/>
            </w:tcBorders>
            <w:shd w:val="clear" w:color="auto" w:fill="9CC2E5"/>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94.1%</w:t>
            </w:r>
          </w:p>
        </w:tc>
        <w:tc>
          <w:tcPr>
            <w:tcW w:w="829" w:type="dxa"/>
            <w:tcBorders>
              <w:tl2br w:val="nil"/>
              <w:tr2bl w:val="nil"/>
            </w:tcBorders>
            <w:shd w:val="clear" w:color="auto" w:fill="9CC2E5"/>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5.9%</w:t>
            </w:r>
          </w:p>
        </w:tc>
        <w:tc>
          <w:tcPr>
            <w:tcW w:w="967" w:type="dxa"/>
            <w:tcBorders>
              <w:tl2br w:val="nil"/>
              <w:tr2bl w:val="nil"/>
            </w:tcBorders>
            <w:shd w:val="clear" w:color="auto" w:fill="9CC2E5"/>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w:t>
            </w:r>
          </w:p>
        </w:tc>
        <w:tc>
          <w:tcPr>
            <w:tcW w:w="1892" w:type="dxa"/>
            <w:tcBorders>
              <w:tl2br w:val="nil"/>
              <w:tr2bl w:val="nil"/>
            </w:tcBorders>
            <w:shd w:val="clear" w:color="auto" w:fill="9CC2E5"/>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存在失窃问题</w:t>
            </w:r>
          </w:p>
        </w:tc>
        <w:tc>
          <w:tcPr>
            <w:tcW w:w="2715" w:type="dxa"/>
            <w:tcBorders>
              <w:tl2br w:val="nil"/>
              <w:tr2bl w:val="nil"/>
            </w:tcBorders>
            <w:shd w:val="clear" w:color="auto" w:fill="9CC2E5"/>
            <w:vAlign w:val="center"/>
          </w:tcPr>
          <w:p>
            <w:pPr>
              <w:jc w:val="center"/>
              <w:rPr>
                <w:rFonts w:hint="eastAsia" w:ascii="宋体" w:hAnsi="宋体" w:cs="宋体"/>
                <w:color w:val="auto"/>
                <w:sz w:val="24"/>
                <w:lang w:val="en-US" w:eastAsia="zh-CN"/>
              </w:rPr>
            </w:pPr>
            <w:r>
              <w:rPr>
                <w:rFonts w:hint="eastAsia" w:ascii="宋体" w:hAnsi="宋体" w:cs="宋体"/>
                <w:color w:val="auto"/>
                <w:sz w:val="24"/>
                <w:lang w:val="en-US" w:eastAsia="zh-CN"/>
              </w:rPr>
              <w:t>校园二期建设教学楼及宿舍等地应尽快安装监控等，加强安全教育，加大人防技防力度</w:t>
            </w:r>
          </w:p>
        </w:tc>
      </w:tr>
    </w:tbl>
    <w:p>
      <w:pPr>
        <w:pStyle w:val="4"/>
        <w:spacing w:before="156" w:after="156" w:line="500" w:lineRule="exact"/>
        <w:ind w:firstLine="723"/>
        <w:rPr>
          <w:rFonts w:hint="default"/>
        </w:rPr>
      </w:pPr>
      <w:bookmarkStart w:id="42" w:name="_Toc21902"/>
      <w:bookmarkStart w:id="43" w:name="_Toc14381"/>
      <w:bookmarkStart w:id="44" w:name="_Toc30803"/>
      <w:bookmarkStart w:id="45" w:name="_Toc2511"/>
      <w:r>
        <w:t>2.3资助情况</w:t>
      </w:r>
      <w:bookmarkEnd w:id="42"/>
      <w:bookmarkEnd w:id="43"/>
      <w:bookmarkEnd w:id="44"/>
      <w:bookmarkEnd w:id="45"/>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为规范学生资助申报认定工作，确保资助工作公正、公平、公开，我校</w:t>
      </w:r>
      <w:r>
        <w:rPr>
          <w:rFonts w:hint="eastAsia" w:ascii="仿宋_GB2312" w:hAnsi="仿宋_GB2312" w:eastAsia="仿宋_GB2312" w:cs="仿宋_GB2312"/>
          <w:sz w:val="32"/>
          <w:szCs w:val="32"/>
          <w:shd w:val="clear" w:color="auto" w:fill="FDFDFC"/>
          <w:lang w:eastAsia="zh-CN"/>
        </w:rPr>
        <w:t>设</w:t>
      </w:r>
      <w:r>
        <w:rPr>
          <w:rFonts w:hint="eastAsia" w:ascii="仿宋_GB2312" w:hAnsi="仿宋_GB2312" w:eastAsia="仿宋_GB2312" w:cs="仿宋_GB2312"/>
          <w:sz w:val="32"/>
          <w:szCs w:val="32"/>
          <w:shd w:val="clear" w:color="auto" w:fill="FDFDFC"/>
        </w:rPr>
        <w:t>有专门的资助管理中心，软、硬件配备齐全。实行校长负责制，实行学籍、资助分开管理，采用不同的用户进入全国系统</w:t>
      </w:r>
      <w:r>
        <w:rPr>
          <w:rFonts w:hint="eastAsia" w:ascii="仿宋_GB2312" w:hAnsi="仿宋_GB2312" w:eastAsia="仿宋_GB2312" w:cs="仿宋_GB2312"/>
          <w:sz w:val="32"/>
          <w:szCs w:val="32"/>
          <w:shd w:val="clear" w:color="auto" w:fill="FDFDFC"/>
          <w:lang w:eastAsia="zh-CN"/>
        </w:rPr>
        <w:t>，</w:t>
      </w:r>
      <w:r>
        <w:rPr>
          <w:rFonts w:hint="eastAsia" w:ascii="仿宋_GB2312" w:hAnsi="仿宋_GB2312" w:eastAsia="仿宋_GB2312" w:cs="仿宋_GB2312"/>
          <w:sz w:val="32"/>
          <w:szCs w:val="32"/>
          <w:shd w:val="clear" w:color="auto" w:fill="FDFDFC"/>
        </w:rPr>
        <w:t>严格分帐户管理。</w:t>
      </w:r>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我校严格遵守、执行，并按照江西省国家助学金管理细则和程序对享受国家助学金学生进行评议、评定。一是加强政策宣传力度，确保资助工作透明度，二是个人申报，三是班级评议，四是班主任上报，五是资助中心审核，六是学校资助领导小组审批，七是进行公示。</w:t>
      </w:r>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lang w:val="en-US" w:eastAsia="zh-CN"/>
        </w:rPr>
        <w:t>2020</w:t>
      </w:r>
      <w:r>
        <w:rPr>
          <w:rFonts w:hint="eastAsia" w:ascii="仿宋_GB2312" w:hAnsi="仿宋_GB2312" w:eastAsia="仿宋_GB2312" w:cs="仿宋_GB2312"/>
          <w:sz w:val="32"/>
          <w:szCs w:val="32"/>
          <w:shd w:val="clear" w:color="auto" w:fill="FDFDFC"/>
        </w:rPr>
        <w:t>年</w:t>
      </w:r>
      <w:r>
        <w:rPr>
          <w:rFonts w:hint="eastAsia" w:ascii="仿宋_GB2312" w:hAnsi="仿宋_GB2312" w:eastAsia="仿宋_GB2312" w:cs="仿宋_GB2312"/>
          <w:sz w:val="32"/>
          <w:szCs w:val="32"/>
          <w:shd w:val="clear" w:color="auto" w:fill="FDFDFC"/>
          <w:lang w:eastAsia="zh-CN"/>
        </w:rPr>
        <w:t>春在校生数为</w:t>
      </w:r>
      <w:r>
        <w:rPr>
          <w:rFonts w:hint="eastAsia" w:ascii="仿宋_GB2312" w:hAnsi="仿宋_GB2312" w:eastAsia="仿宋_GB2312" w:cs="仿宋_GB2312"/>
          <w:sz w:val="32"/>
          <w:szCs w:val="32"/>
          <w:shd w:val="clear" w:color="auto" w:fill="FDFDFC"/>
          <w:lang w:val="en-US" w:eastAsia="zh-CN"/>
        </w:rPr>
        <w:t>3698人。</w:t>
      </w:r>
      <w:r>
        <w:rPr>
          <w:rFonts w:hint="eastAsia" w:ascii="仿宋_GB2312" w:hAnsi="仿宋_GB2312" w:eastAsia="仿宋_GB2312" w:cs="仿宋_GB2312"/>
          <w:sz w:val="32"/>
          <w:szCs w:val="32"/>
          <w:shd w:val="clear" w:color="auto" w:fill="FDFDFC"/>
        </w:rPr>
        <w:t>申报到系统人数为：国家免学费</w:t>
      </w:r>
      <w:r>
        <w:rPr>
          <w:rFonts w:hint="eastAsia" w:ascii="仿宋_GB2312" w:hAnsi="仿宋_GB2312" w:eastAsia="仿宋_GB2312" w:cs="仿宋_GB2312"/>
          <w:sz w:val="32"/>
          <w:szCs w:val="32"/>
          <w:shd w:val="clear" w:color="auto" w:fill="FDFDFC"/>
          <w:lang w:val="en-US" w:eastAsia="zh-CN"/>
        </w:rPr>
        <w:t xml:space="preserve"> 3486</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9</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1440</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8</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1124</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7</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922</w:t>
      </w:r>
      <w:r>
        <w:rPr>
          <w:rFonts w:hint="eastAsia" w:ascii="仿宋_GB2312" w:hAnsi="仿宋_GB2312" w:eastAsia="仿宋_GB2312" w:cs="仿宋_GB2312"/>
          <w:sz w:val="32"/>
          <w:szCs w:val="32"/>
          <w:shd w:val="clear" w:color="auto" w:fill="FDFDFC"/>
        </w:rPr>
        <w:t>人），国家助学金</w:t>
      </w:r>
      <w:r>
        <w:rPr>
          <w:rFonts w:hint="eastAsia" w:ascii="仿宋_GB2312" w:hAnsi="仿宋_GB2312" w:eastAsia="仿宋_GB2312" w:cs="仿宋_GB2312"/>
          <w:sz w:val="32"/>
          <w:szCs w:val="32"/>
          <w:shd w:val="clear" w:color="auto" w:fill="FDFDFC"/>
          <w:lang w:val="en-US" w:eastAsia="zh-CN"/>
        </w:rPr>
        <w:t>417</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9</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230</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8</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187</w:t>
      </w:r>
      <w:r>
        <w:rPr>
          <w:rFonts w:hint="eastAsia" w:ascii="仿宋_GB2312" w:hAnsi="仿宋_GB2312" w:eastAsia="仿宋_GB2312" w:cs="仿宋_GB2312"/>
          <w:sz w:val="32"/>
          <w:szCs w:val="32"/>
          <w:shd w:val="clear" w:color="auto" w:fill="FDFDFC"/>
        </w:rPr>
        <w:t>人）。</w:t>
      </w:r>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lang w:val="en-US" w:eastAsia="zh-CN"/>
        </w:rPr>
        <w:t>2020</w:t>
      </w:r>
      <w:r>
        <w:rPr>
          <w:rFonts w:hint="eastAsia" w:ascii="仿宋_GB2312" w:hAnsi="仿宋_GB2312" w:eastAsia="仿宋_GB2312" w:cs="仿宋_GB2312"/>
          <w:sz w:val="32"/>
          <w:szCs w:val="32"/>
          <w:shd w:val="clear" w:color="auto" w:fill="FDFDFC"/>
        </w:rPr>
        <w:t>年</w:t>
      </w:r>
      <w:r>
        <w:rPr>
          <w:rFonts w:hint="eastAsia" w:ascii="仿宋_GB2312" w:hAnsi="仿宋_GB2312" w:eastAsia="仿宋_GB2312" w:cs="仿宋_GB2312"/>
          <w:sz w:val="32"/>
          <w:szCs w:val="32"/>
          <w:shd w:val="clear" w:color="auto" w:fill="FDFDFC"/>
          <w:lang w:eastAsia="zh-CN"/>
        </w:rPr>
        <w:t>秋</w:t>
      </w:r>
      <w:r>
        <w:rPr>
          <w:rFonts w:hint="eastAsia" w:ascii="仿宋_GB2312" w:hAnsi="仿宋_GB2312" w:eastAsia="仿宋_GB2312" w:cs="仿宋_GB2312"/>
          <w:sz w:val="32"/>
          <w:szCs w:val="32"/>
          <w:shd w:val="clear" w:color="auto" w:fill="FDFDFC"/>
        </w:rPr>
        <w:t>申报到系统人数为：国家免学费</w:t>
      </w:r>
      <w:r>
        <w:rPr>
          <w:rFonts w:hint="eastAsia" w:ascii="仿宋_GB2312" w:hAnsi="仿宋_GB2312" w:eastAsia="仿宋_GB2312" w:cs="仿宋_GB2312"/>
          <w:sz w:val="32"/>
          <w:szCs w:val="32"/>
          <w:shd w:val="clear" w:color="auto" w:fill="FDFDFC"/>
          <w:lang w:val="en-US" w:eastAsia="zh-CN"/>
        </w:rPr>
        <w:t xml:space="preserve"> 3724</w:t>
      </w:r>
      <w:r>
        <w:rPr>
          <w:rFonts w:hint="eastAsia" w:ascii="仿宋_GB2312" w:hAnsi="仿宋_GB2312" w:eastAsia="仿宋_GB2312" w:cs="仿宋_GB2312"/>
          <w:sz w:val="32"/>
          <w:szCs w:val="32"/>
          <w:shd w:val="clear" w:color="auto" w:fill="FDFDFC"/>
        </w:rPr>
        <w:t>人（20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1256</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9</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1353</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8</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1115</w:t>
      </w:r>
      <w:r>
        <w:rPr>
          <w:rFonts w:hint="eastAsia" w:ascii="仿宋_GB2312" w:hAnsi="仿宋_GB2312" w:eastAsia="仿宋_GB2312" w:cs="仿宋_GB2312"/>
          <w:sz w:val="32"/>
          <w:szCs w:val="32"/>
          <w:shd w:val="clear" w:color="auto" w:fill="FDFDFC"/>
        </w:rPr>
        <w:t>人），国家助学金</w:t>
      </w:r>
      <w:r>
        <w:rPr>
          <w:rFonts w:hint="eastAsia" w:ascii="仿宋_GB2312" w:hAnsi="仿宋_GB2312" w:eastAsia="仿宋_GB2312" w:cs="仿宋_GB2312"/>
          <w:sz w:val="32"/>
          <w:szCs w:val="32"/>
          <w:shd w:val="clear" w:color="auto" w:fill="FDFDFC"/>
          <w:lang w:val="en-US" w:eastAsia="zh-CN"/>
        </w:rPr>
        <w:t>422</w:t>
      </w:r>
      <w:r>
        <w:rPr>
          <w:rFonts w:hint="eastAsia" w:ascii="仿宋_GB2312" w:hAnsi="仿宋_GB2312" w:eastAsia="仿宋_GB2312" w:cs="仿宋_GB2312"/>
          <w:sz w:val="32"/>
          <w:szCs w:val="32"/>
          <w:shd w:val="clear" w:color="auto" w:fill="FDFDFC"/>
        </w:rPr>
        <w:t>人（20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201</w:t>
      </w:r>
      <w:r>
        <w:rPr>
          <w:rFonts w:hint="eastAsia" w:ascii="仿宋_GB2312" w:hAnsi="仿宋_GB2312" w:eastAsia="仿宋_GB2312" w:cs="仿宋_GB2312"/>
          <w:sz w:val="32"/>
          <w:szCs w:val="32"/>
          <w:shd w:val="clear" w:color="auto" w:fill="FDFDFC"/>
        </w:rPr>
        <w:t>人、201</w:t>
      </w:r>
      <w:r>
        <w:rPr>
          <w:rFonts w:hint="eastAsia" w:ascii="仿宋_GB2312" w:hAnsi="仿宋_GB2312" w:eastAsia="仿宋_GB2312" w:cs="仿宋_GB2312"/>
          <w:sz w:val="32"/>
          <w:szCs w:val="32"/>
          <w:shd w:val="clear" w:color="auto" w:fill="FDFDFC"/>
          <w:lang w:val="en-US" w:eastAsia="zh-CN"/>
        </w:rPr>
        <w:t>9</w:t>
      </w:r>
      <w:r>
        <w:rPr>
          <w:rFonts w:hint="eastAsia" w:ascii="仿宋_GB2312" w:hAnsi="仿宋_GB2312" w:eastAsia="仿宋_GB2312" w:cs="仿宋_GB2312"/>
          <w:sz w:val="32"/>
          <w:szCs w:val="32"/>
          <w:shd w:val="clear" w:color="auto" w:fill="FDFDFC"/>
        </w:rPr>
        <w:t>级</w:t>
      </w:r>
      <w:r>
        <w:rPr>
          <w:rFonts w:hint="eastAsia" w:ascii="仿宋_GB2312" w:hAnsi="仿宋_GB2312" w:eastAsia="仿宋_GB2312" w:cs="仿宋_GB2312"/>
          <w:sz w:val="32"/>
          <w:szCs w:val="32"/>
          <w:shd w:val="clear" w:color="auto" w:fill="FDFDFC"/>
          <w:lang w:val="en-US" w:eastAsia="zh-CN"/>
        </w:rPr>
        <w:t>221</w:t>
      </w:r>
      <w:r>
        <w:rPr>
          <w:rFonts w:hint="eastAsia" w:ascii="仿宋_GB2312" w:hAnsi="仿宋_GB2312" w:eastAsia="仿宋_GB2312" w:cs="仿宋_GB2312"/>
          <w:sz w:val="32"/>
          <w:szCs w:val="32"/>
          <w:shd w:val="clear" w:color="auto" w:fill="FDFDFC"/>
        </w:rPr>
        <w:t>人）。</w:t>
      </w:r>
    </w:p>
    <w:p>
      <w:pPr>
        <w:pStyle w:val="4"/>
        <w:spacing w:before="156" w:after="156" w:line="500" w:lineRule="exact"/>
        <w:ind w:firstLine="723"/>
        <w:rPr>
          <w:rFonts w:hint="default"/>
        </w:rPr>
      </w:pPr>
      <w:bookmarkStart w:id="46" w:name="_Toc17566"/>
      <w:bookmarkStart w:id="47" w:name="_Toc9109"/>
      <w:bookmarkStart w:id="48" w:name="_Toc30880"/>
      <w:bookmarkStart w:id="49" w:name="_Toc29786"/>
      <w:r>
        <w:t>2.4 就业质量</w:t>
      </w:r>
      <w:bookmarkEnd w:id="46"/>
      <w:bookmarkEnd w:id="47"/>
      <w:bookmarkEnd w:id="48"/>
      <w:bookmarkEnd w:id="49"/>
    </w:p>
    <w:p>
      <w:pPr>
        <w:spacing w:line="500" w:lineRule="exact"/>
        <w:ind w:firstLine="640" w:firstLineChars="200"/>
        <w:rPr>
          <w:rFonts w:hint="eastAsia" w:ascii="仿宋_GB2312" w:hAnsi="仿宋_GB2312" w:eastAsia="仿宋_GB2312" w:cs="仿宋_GB2312"/>
          <w:sz w:val="32"/>
          <w:szCs w:val="32"/>
          <w:shd w:val="clear" w:color="auto" w:fill="FDFDFC"/>
        </w:rPr>
      </w:pPr>
      <w:r>
        <w:rPr>
          <w:rFonts w:hint="eastAsia" w:ascii="仿宋_GB2312" w:hAnsi="仿宋_GB2312" w:eastAsia="仿宋_GB2312" w:cs="仿宋_GB2312"/>
          <w:sz w:val="32"/>
          <w:szCs w:val="32"/>
          <w:shd w:val="clear" w:color="auto" w:fill="FDFDFC"/>
        </w:rPr>
        <w:t>20</w:t>
      </w:r>
      <w:r>
        <w:rPr>
          <w:rFonts w:hint="eastAsia" w:ascii="仿宋_GB2312" w:hAnsi="仿宋_GB2312" w:eastAsia="仿宋_GB2312" w:cs="仿宋_GB2312"/>
          <w:sz w:val="32"/>
          <w:szCs w:val="32"/>
          <w:shd w:val="clear" w:color="auto" w:fill="FDFDFC"/>
          <w:lang w:val="en-US" w:eastAsia="zh-CN"/>
        </w:rPr>
        <w:t>20</w:t>
      </w:r>
      <w:r>
        <w:rPr>
          <w:rFonts w:hint="eastAsia" w:ascii="仿宋_GB2312" w:hAnsi="仿宋_GB2312" w:eastAsia="仿宋_GB2312" w:cs="仿宋_GB2312"/>
          <w:sz w:val="32"/>
          <w:szCs w:val="32"/>
          <w:shd w:val="clear" w:color="auto" w:fill="FDFDFC"/>
        </w:rPr>
        <w:t>年毕业生人数9</w:t>
      </w:r>
      <w:r>
        <w:rPr>
          <w:rFonts w:hint="eastAsia" w:ascii="仿宋_GB2312" w:hAnsi="仿宋_GB2312" w:eastAsia="仿宋_GB2312" w:cs="仿宋_GB2312"/>
          <w:sz w:val="32"/>
          <w:szCs w:val="32"/>
          <w:shd w:val="clear" w:color="auto" w:fill="FDFDFC"/>
          <w:lang w:val="en-US" w:eastAsia="zh-CN"/>
        </w:rPr>
        <w:t>8</w:t>
      </w:r>
      <w:r>
        <w:rPr>
          <w:rFonts w:hint="eastAsia" w:ascii="仿宋_GB2312" w:hAnsi="仿宋_GB2312" w:eastAsia="仿宋_GB2312" w:cs="仿宋_GB2312"/>
          <w:sz w:val="32"/>
          <w:szCs w:val="32"/>
          <w:shd w:val="clear" w:color="auto" w:fill="FDFDFC"/>
        </w:rPr>
        <w:t>5人。近几年，我校学生就业形势持续向好，所有专业学生就业率均达100%，其中对口就业率</w:t>
      </w:r>
      <w:r>
        <w:rPr>
          <w:rFonts w:hint="eastAsia" w:ascii="仿宋_GB2312" w:hAnsi="仿宋_GB2312" w:eastAsia="仿宋_GB2312" w:cs="仿宋_GB2312"/>
          <w:sz w:val="32"/>
          <w:szCs w:val="32"/>
          <w:shd w:val="clear" w:color="auto" w:fill="FDFDFC"/>
          <w:lang w:val="en-US" w:eastAsia="zh-CN"/>
        </w:rPr>
        <w:t>90</w:t>
      </w:r>
      <w:r>
        <w:rPr>
          <w:rFonts w:hint="eastAsia" w:ascii="仿宋_GB2312" w:hAnsi="仿宋_GB2312" w:eastAsia="仿宋_GB2312" w:cs="仿宋_GB2312"/>
          <w:sz w:val="32"/>
          <w:szCs w:val="32"/>
          <w:shd w:val="clear" w:color="auto" w:fill="FDFDFC"/>
        </w:rPr>
        <w:t>%。学生初次就业起薪平均达3</w:t>
      </w:r>
      <w:r>
        <w:rPr>
          <w:rFonts w:hint="eastAsia" w:ascii="仿宋_GB2312" w:hAnsi="仿宋_GB2312" w:eastAsia="仿宋_GB2312" w:cs="仿宋_GB2312"/>
          <w:sz w:val="32"/>
          <w:szCs w:val="32"/>
          <w:shd w:val="clear" w:color="auto" w:fill="FDFDFC"/>
          <w:lang w:val="en-US" w:eastAsia="zh-CN"/>
        </w:rPr>
        <w:t>5</w:t>
      </w:r>
      <w:r>
        <w:rPr>
          <w:rFonts w:hint="eastAsia" w:ascii="仿宋_GB2312" w:hAnsi="仿宋_GB2312" w:eastAsia="仿宋_GB2312" w:cs="仿宋_GB2312"/>
          <w:sz w:val="32"/>
          <w:szCs w:val="32"/>
          <w:shd w:val="clear" w:color="auto" w:fill="FDFDFC"/>
        </w:rPr>
        <w:t>00元/月，具体如下表所示：</w:t>
      </w:r>
    </w:p>
    <w:p>
      <w:pPr>
        <w:spacing w:line="500" w:lineRule="exact"/>
        <w:jc w:val="center"/>
        <w:rPr>
          <w:rFonts w:asciiTheme="minorEastAsia" w:hAnsiTheme="minorEastAsia" w:cstheme="minorEastAsia"/>
          <w:b/>
          <w:bCs/>
          <w:sz w:val="24"/>
        </w:rPr>
      </w:pPr>
      <w:r>
        <w:rPr>
          <w:rFonts w:hint="eastAsia" w:asciiTheme="minorEastAsia" w:hAnsiTheme="minorEastAsia" w:cstheme="minorEastAsia"/>
          <w:b/>
          <w:bCs/>
          <w:sz w:val="24"/>
        </w:rPr>
        <w:t>表8：毕业生就业质量一览表</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197"/>
        <w:gridCol w:w="1434"/>
        <w:gridCol w:w="1105"/>
        <w:gridCol w:w="1671"/>
        <w:gridCol w:w="95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bookmarkStart w:id="50" w:name="_Toc5711"/>
            <w:bookmarkStart w:id="51" w:name="_Toc7473"/>
            <w:bookmarkStart w:id="52" w:name="_Toc28287"/>
            <w:r>
              <w:rPr>
                <w:rFonts w:hint="eastAsia" w:asciiTheme="minorEastAsia" w:hAnsiTheme="minorEastAsia" w:cstheme="minorEastAsia"/>
                <w:b/>
                <w:bCs/>
                <w:sz w:val="24"/>
              </w:rPr>
              <w:t>年度</w:t>
            </w:r>
          </w:p>
        </w:tc>
        <w:tc>
          <w:tcPr>
            <w:tcW w:w="1197"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毕业生</w:t>
            </w:r>
          </w:p>
          <w:p>
            <w:pPr>
              <w:jc w:val="center"/>
              <w:rPr>
                <w:rFonts w:asciiTheme="minorEastAsia" w:hAnsiTheme="minorEastAsia" w:cstheme="minorEastAsia"/>
                <w:b/>
                <w:bCs/>
                <w:sz w:val="24"/>
              </w:rPr>
            </w:pPr>
            <w:r>
              <w:rPr>
                <w:rFonts w:hint="eastAsia" w:asciiTheme="minorEastAsia" w:hAnsiTheme="minorEastAsia" w:cstheme="minorEastAsia"/>
                <w:b/>
                <w:bCs/>
                <w:sz w:val="24"/>
              </w:rPr>
              <w:t>人数</w:t>
            </w:r>
          </w:p>
        </w:tc>
        <w:tc>
          <w:tcPr>
            <w:tcW w:w="14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就业人数</w:t>
            </w:r>
          </w:p>
        </w:tc>
        <w:tc>
          <w:tcPr>
            <w:tcW w:w="110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就业率</w:t>
            </w:r>
          </w:p>
        </w:tc>
        <w:tc>
          <w:tcPr>
            <w:tcW w:w="167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初次就业</w:t>
            </w:r>
          </w:p>
          <w:p>
            <w:pPr>
              <w:jc w:val="center"/>
              <w:rPr>
                <w:rFonts w:asciiTheme="minorEastAsia" w:hAnsiTheme="minorEastAsia" w:cstheme="minorEastAsia"/>
                <w:b/>
                <w:bCs/>
                <w:sz w:val="24"/>
              </w:rPr>
            </w:pPr>
            <w:r>
              <w:rPr>
                <w:rFonts w:hint="eastAsia" w:asciiTheme="minorEastAsia" w:hAnsiTheme="minorEastAsia" w:cstheme="minorEastAsia"/>
                <w:b/>
                <w:bCs/>
                <w:sz w:val="24"/>
              </w:rPr>
              <w:t>月薪平均值</w:t>
            </w:r>
          </w:p>
        </w:tc>
        <w:tc>
          <w:tcPr>
            <w:tcW w:w="95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升学人数</w:t>
            </w:r>
          </w:p>
        </w:tc>
        <w:tc>
          <w:tcPr>
            <w:tcW w:w="121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5B9BD5"/>
            <w:vAlign w:val="center"/>
          </w:tcPr>
          <w:p>
            <w:pPr>
              <w:jc w:val="center"/>
              <w:rPr>
                <w:rFonts w:asciiTheme="minorEastAsia" w:hAnsiTheme="minorEastAsia" w:cstheme="minorEastAsia"/>
                <w:b/>
                <w:bCs/>
                <w:sz w:val="24"/>
              </w:rPr>
            </w:pPr>
            <w:r>
              <w:rPr>
                <w:rFonts w:hint="eastAsia" w:asciiTheme="minorEastAsia" w:hAnsiTheme="minorEastAsia" w:cstheme="minorEastAsia"/>
                <w:b/>
                <w:bCs/>
                <w:sz w:val="24"/>
              </w:rPr>
              <w:t>升学率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b/>
                <w:bCs/>
                <w:kern w:val="2"/>
                <w:sz w:val="24"/>
                <w:szCs w:val="24"/>
                <w:lang w:val="en-US" w:eastAsia="zh-CN" w:bidi="ar-SA"/>
              </w:rPr>
            </w:pPr>
            <w:r>
              <w:rPr>
                <w:rFonts w:hint="eastAsia" w:asciiTheme="minorEastAsia" w:hAnsiTheme="minorEastAsia" w:cstheme="minorEastAsia"/>
                <w:b/>
                <w:bCs/>
                <w:sz w:val="24"/>
              </w:rPr>
              <w:t>2019</w:t>
            </w:r>
          </w:p>
        </w:tc>
        <w:tc>
          <w:tcPr>
            <w:tcW w:w="1197"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945</w:t>
            </w:r>
          </w:p>
        </w:tc>
        <w:tc>
          <w:tcPr>
            <w:tcW w:w="14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784</w:t>
            </w:r>
          </w:p>
        </w:tc>
        <w:tc>
          <w:tcPr>
            <w:tcW w:w="110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83%</w:t>
            </w:r>
          </w:p>
        </w:tc>
        <w:tc>
          <w:tcPr>
            <w:tcW w:w="167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3000</w:t>
            </w:r>
          </w:p>
        </w:tc>
        <w:tc>
          <w:tcPr>
            <w:tcW w:w="95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110</w:t>
            </w:r>
          </w:p>
        </w:tc>
        <w:tc>
          <w:tcPr>
            <w:tcW w:w="121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1F1F1"/>
            <w:vAlign w:val="center"/>
          </w:tcPr>
          <w:p>
            <w:pPr>
              <w:jc w:val="center"/>
              <w:rPr>
                <w:rFonts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93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b/>
                <w:bCs/>
                <w:sz w:val="24"/>
                <w:lang w:val="en-US" w:eastAsia="zh-CN"/>
              </w:rPr>
            </w:pPr>
            <w:r>
              <w:rPr>
                <w:rFonts w:hint="eastAsia" w:asciiTheme="minorEastAsia" w:hAnsiTheme="minorEastAsia" w:cstheme="minorEastAsia"/>
                <w:b/>
                <w:bCs/>
                <w:sz w:val="24"/>
                <w:lang w:val="en-US" w:eastAsia="zh-CN"/>
              </w:rPr>
              <w:t>2020</w:t>
            </w:r>
          </w:p>
        </w:tc>
        <w:tc>
          <w:tcPr>
            <w:tcW w:w="1197"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985</w:t>
            </w:r>
          </w:p>
        </w:tc>
        <w:tc>
          <w:tcPr>
            <w:tcW w:w="1434"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619</w:t>
            </w:r>
          </w:p>
        </w:tc>
        <w:tc>
          <w:tcPr>
            <w:tcW w:w="110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62.8</w:t>
            </w:r>
            <w:r>
              <w:rPr>
                <w:rFonts w:hint="eastAsia" w:asciiTheme="minorEastAsia" w:hAnsiTheme="minorEastAsia" w:cstheme="minorEastAsia"/>
                <w:sz w:val="24"/>
              </w:rPr>
              <w:t>%</w:t>
            </w:r>
          </w:p>
        </w:tc>
        <w:tc>
          <w:tcPr>
            <w:tcW w:w="167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3500</w:t>
            </w:r>
          </w:p>
        </w:tc>
        <w:tc>
          <w:tcPr>
            <w:tcW w:w="95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366</w:t>
            </w:r>
          </w:p>
        </w:tc>
        <w:tc>
          <w:tcPr>
            <w:tcW w:w="1218"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9CC2E5"/>
            <w:vAlign w:val="center"/>
          </w:tcPr>
          <w:p>
            <w:pPr>
              <w:jc w:val="center"/>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lang w:val="en-US" w:eastAsia="zh-CN"/>
              </w:rPr>
              <w:t>37.2</w:t>
            </w:r>
            <w:r>
              <w:rPr>
                <w:rFonts w:hint="eastAsia" w:asciiTheme="minorEastAsia" w:hAnsiTheme="minorEastAsia" w:cstheme="minorEastAsia"/>
                <w:sz w:val="24"/>
              </w:rPr>
              <w:t>%</w:t>
            </w:r>
          </w:p>
        </w:tc>
      </w:tr>
    </w:tbl>
    <w:p>
      <w:pPr>
        <w:pStyle w:val="4"/>
        <w:spacing w:before="156" w:after="156" w:line="500" w:lineRule="exact"/>
        <w:ind w:firstLine="723"/>
        <w:rPr>
          <w:rFonts w:hint="default"/>
        </w:rPr>
      </w:pPr>
      <w:bookmarkStart w:id="53" w:name="_Toc29918"/>
      <w:r>
        <w:t>2.5 职业发展</w:t>
      </w:r>
      <w:bookmarkEnd w:id="50"/>
      <w:bookmarkEnd w:id="51"/>
      <w:bookmarkEnd w:id="52"/>
      <w:bookmarkEnd w:id="53"/>
    </w:p>
    <w:p>
      <w:pPr>
        <w:spacing w:line="5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shd w:val="clear" w:color="auto" w:fill="FDFDFC"/>
        </w:rPr>
        <w:t>一直以来，学校积极贯彻落实教育部和人社部要求，不断加强学生职业生涯规划和职业指导服务体系建设，开设职业生涯规划课程，配置专业教师授课，不断丰富职业指导的形式，提高职业指导的效果，给学生的自我探索、职业探索提供了广阔平台，拓宽了学生职业认知，增强了学生创新创业意识，促进他们从学生到职业人的转变，提升了学生的就业竞争力。从实习企业反馈的评价来看，近年来，我校学生的学习能力、岗位适应能力、岗位迁移能力、创新创业能力均有显著提高</w:t>
      </w:r>
      <w:r>
        <w:rPr>
          <w:rFonts w:hint="eastAsia" w:ascii="仿宋_GB2312" w:hAnsi="仿宋_GB2312" w:eastAsia="仿宋_GB2312" w:cs="仿宋_GB2312"/>
          <w:sz w:val="32"/>
          <w:szCs w:val="32"/>
          <w:shd w:val="clear" w:color="auto" w:fill="FDFDFC"/>
          <w:lang w:eastAsia="zh-CN"/>
        </w:rPr>
        <w:t>，得到了用工单位的认可和较高评价</w:t>
      </w:r>
      <w:r>
        <w:rPr>
          <w:rFonts w:hint="eastAsia" w:ascii="仿宋_GB2312" w:hAnsi="仿宋_GB2312" w:eastAsia="仿宋_GB2312" w:cs="仿宋_GB2312"/>
          <w:sz w:val="32"/>
          <w:szCs w:val="32"/>
          <w:shd w:val="clear" w:color="auto" w:fill="FDFDFC"/>
        </w:rPr>
        <w:t>。</w:t>
      </w:r>
    </w:p>
    <w:p>
      <w:pPr>
        <w:pStyle w:val="3"/>
        <w:spacing w:before="312" w:after="312" w:line="500" w:lineRule="exact"/>
      </w:pPr>
      <w:bookmarkStart w:id="54" w:name="_Toc8466"/>
      <w:bookmarkStart w:id="55" w:name="_Toc6393"/>
      <w:bookmarkStart w:id="56" w:name="_Toc26434"/>
      <w:bookmarkStart w:id="57" w:name="_Toc16927"/>
      <w:r>
        <w:rPr>
          <w:rFonts w:hint="eastAsia"/>
        </w:rPr>
        <w:t>3.质量保障措施</w:t>
      </w:r>
      <w:bookmarkEnd w:id="54"/>
      <w:bookmarkEnd w:id="55"/>
      <w:bookmarkEnd w:id="56"/>
      <w:bookmarkEnd w:id="57"/>
    </w:p>
    <w:p>
      <w:pPr>
        <w:pStyle w:val="4"/>
        <w:spacing w:before="156" w:after="156" w:line="500" w:lineRule="exact"/>
        <w:ind w:firstLine="723"/>
        <w:rPr>
          <w:rFonts w:hint="default"/>
        </w:rPr>
      </w:pPr>
      <w:bookmarkStart w:id="58" w:name="_Toc28859"/>
      <w:bookmarkStart w:id="59" w:name="_Toc29433"/>
      <w:bookmarkStart w:id="60" w:name="_Toc9504"/>
      <w:bookmarkStart w:id="61" w:name="_Toc27784"/>
      <w:r>
        <w:t>3.1专业动态调整</w:t>
      </w:r>
      <w:bookmarkEnd w:id="58"/>
      <w:bookmarkEnd w:id="59"/>
      <w:bookmarkEnd w:id="60"/>
      <w:bookmarkEnd w:id="61"/>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62" w:name="_Toc30049"/>
      <w:bookmarkStart w:id="63" w:name="_Toc17700"/>
      <w:r>
        <w:rPr>
          <w:rFonts w:hint="eastAsia" w:ascii="仿宋_GB2312" w:hAnsi="仿宋_GB2312" w:eastAsia="仿宋_GB2312" w:cs="仿宋_GB2312"/>
          <w:b w:val="0"/>
          <w:bCs w:val="0"/>
          <w:kern w:val="2"/>
          <w:sz w:val="32"/>
          <w:szCs w:val="32"/>
          <w:shd w:val="clear" w:color="auto" w:fill="FDFDFC"/>
          <w:lang w:val="en-US" w:eastAsia="zh-CN" w:bidi="ar-SA"/>
        </w:rPr>
        <w:t>学校牢固树立“质量立校”思想，确立了“以专业建设为引领，注重质量建设和品牌发展，以服务地方经济发展”的专业建设方向，形成了面向社会、贴近需求、多专业并存的专业体系。</w:t>
      </w:r>
      <w:bookmarkStart w:id="64" w:name="_Toc14676"/>
      <w:bookmarkStart w:id="65" w:name="_Toc6615"/>
      <w:bookmarkStart w:id="66" w:name="_Toc15080"/>
      <w:r>
        <w:rPr>
          <w:rFonts w:hint="eastAsia" w:ascii="仿宋_GB2312" w:hAnsi="仿宋_GB2312" w:eastAsia="仿宋_GB2312" w:cs="仿宋_GB2312"/>
          <w:b w:val="0"/>
          <w:bCs w:val="0"/>
          <w:kern w:val="2"/>
          <w:sz w:val="32"/>
          <w:szCs w:val="32"/>
          <w:shd w:val="clear" w:color="auto" w:fill="FDFDFC"/>
          <w:lang w:val="en-US" w:eastAsia="zh-CN" w:bidi="ar-SA"/>
        </w:rPr>
        <w:t>我校2020年新增新能源汽车检测与维修、健康服务与管理专业等2个中级工专业；新增模具、数控加工、汽车维修、电子商务、平面设计、室内设计等6个高级工专业。学校开班的专业达到16个。</w:t>
      </w:r>
      <w:bookmarkEnd w:id="62"/>
      <w:bookmarkEnd w:id="63"/>
    </w:p>
    <w:p>
      <w:pPr>
        <w:pStyle w:val="4"/>
        <w:spacing w:before="156" w:after="156" w:line="500" w:lineRule="exact"/>
        <w:ind w:firstLine="723"/>
        <w:rPr>
          <w:rFonts w:hint="default"/>
        </w:rPr>
      </w:pPr>
      <w:bookmarkStart w:id="67" w:name="_Toc18633"/>
      <w:r>
        <w:t>3.2教育教学改革</w:t>
      </w:r>
      <w:bookmarkEnd w:id="64"/>
      <w:bookmarkEnd w:id="65"/>
      <w:bookmarkEnd w:id="66"/>
      <w:bookmarkEnd w:id="67"/>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68" w:name="_Toc6687"/>
      <w:r>
        <w:rPr>
          <w:rFonts w:hint="eastAsia" w:ascii="仿宋_GB2312" w:hAnsi="仿宋_GB2312" w:eastAsia="仿宋_GB2312" w:cs="仿宋_GB2312"/>
          <w:b w:val="0"/>
          <w:bCs w:val="0"/>
          <w:kern w:val="2"/>
          <w:sz w:val="32"/>
          <w:szCs w:val="32"/>
          <w:shd w:val="clear" w:color="auto" w:fill="FDFDFC"/>
          <w:lang w:val="en-US" w:eastAsia="zh-CN" w:bidi="ar-SA"/>
        </w:rPr>
        <w:t>学校始终坚持以教学为中心，以质量为生命，注重思路引领，优化育人环境，在育人理念上强化“人人能成才、行行出状元”的成才观，在育人目标上更加突出实践操作能力。2020年，学校教育教学改革情况如下：</w:t>
      </w:r>
      <w:bookmarkEnd w:id="68"/>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69" w:name="_Toc17216"/>
      <w:r>
        <w:rPr>
          <w:rFonts w:hint="eastAsia" w:ascii="仿宋_GB2312" w:hAnsi="仿宋_GB2312" w:eastAsia="仿宋_GB2312" w:cs="仿宋_GB2312"/>
          <w:b w:val="0"/>
          <w:bCs w:val="0"/>
          <w:kern w:val="2"/>
          <w:sz w:val="32"/>
          <w:szCs w:val="32"/>
          <w:shd w:val="clear" w:color="auto" w:fill="FDFDFC"/>
          <w:lang w:val="en-US" w:eastAsia="zh-CN" w:bidi="ar-SA"/>
        </w:rPr>
        <w:t>（1）课程改革情况</w:t>
      </w:r>
      <w:bookmarkEnd w:id="69"/>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0" w:name="_Toc6814"/>
      <w:r>
        <w:rPr>
          <w:rFonts w:hint="eastAsia" w:ascii="仿宋_GB2312" w:hAnsi="仿宋_GB2312" w:eastAsia="仿宋_GB2312" w:cs="仿宋_GB2312"/>
          <w:b w:val="0"/>
          <w:bCs w:val="0"/>
          <w:kern w:val="2"/>
          <w:sz w:val="32"/>
          <w:szCs w:val="32"/>
          <w:shd w:val="clear" w:color="auto" w:fill="FDFDFC"/>
          <w:lang w:val="en-US" w:eastAsia="zh-CN" w:bidi="ar-SA"/>
        </w:rPr>
        <w:t>一是在加强专业知识和技能教学的同时，更加重视德育课程和劳动课程的学习； 二是开展线上教学研究，在疫情期间基本保证了专业教学；三是加强校企合作力度，校企双方共同制订教学计划，引入企业技术人员参与教学。</w:t>
      </w:r>
      <w:bookmarkEnd w:id="70"/>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1" w:name="_Toc23983"/>
      <w:r>
        <w:rPr>
          <w:rFonts w:hint="eastAsia" w:ascii="仿宋_GB2312" w:hAnsi="仿宋_GB2312" w:eastAsia="仿宋_GB2312" w:cs="仿宋_GB2312"/>
          <w:b w:val="0"/>
          <w:bCs w:val="0"/>
          <w:kern w:val="2"/>
          <w:sz w:val="32"/>
          <w:szCs w:val="32"/>
          <w:shd w:val="clear" w:color="auto" w:fill="FDFDFC"/>
          <w:lang w:val="en-US" w:eastAsia="zh-CN" w:bidi="ar-SA"/>
        </w:rPr>
        <w:t>（2）专业设置情况</w:t>
      </w:r>
      <w:bookmarkEnd w:id="71"/>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2" w:name="_Toc13483"/>
      <w:r>
        <w:rPr>
          <w:rFonts w:hint="eastAsia" w:ascii="仿宋_GB2312" w:hAnsi="仿宋_GB2312" w:eastAsia="仿宋_GB2312" w:cs="仿宋_GB2312"/>
          <w:b w:val="0"/>
          <w:bCs w:val="0"/>
          <w:kern w:val="2"/>
          <w:sz w:val="32"/>
          <w:szCs w:val="32"/>
          <w:shd w:val="clear" w:color="auto" w:fill="FDFDFC"/>
          <w:lang w:val="en-US" w:eastAsia="zh-CN" w:bidi="ar-SA"/>
        </w:rPr>
        <w:t>2020年，学校根据市场需求调整专业设置，目前共16个专业招有学生办班，分别是模具制造、数控加工、汽车维修、电气自动化设备安装与维修、计算机应用与维修、计算机动画制作、电子商务、室内设计、无人机应用技术、会计、幼儿教育、茶艺、美容美发与造型（美容）、平面设计、旅游服务与管理、健康服务与管理专业。其中健康服务与管理专业为新开专业，另外有6个专业在中级工专业基础上增开6个高级工专业。</w:t>
      </w:r>
      <w:bookmarkEnd w:id="72"/>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3" w:name="_Toc7196"/>
      <w:r>
        <w:rPr>
          <w:rFonts w:hint="eastAsia" w:ascii="仿宋_GB2312" w:hAnsi="仿宋_GB2312" w:eastAsia="仿宋_GB2312" w:cs="仿宋_GB2312"/>
          <w:b w:val="0"/>
          <w:bCs w:val="0"/>
          <w:kern w:val="2"/>
          <w:sz w:val="32"/>
          <w:szCs w:val="32"/>
          <w:shd w:val="clear" w:color="auto" w:fill="FDFDFC"/>
          <w:lang w:val="en-US" w:eastAsia="zh-CN" w:bidi="ar-SA"/>
        </w:rPr>
        <w:t>（3）师资队伍情况</w:t>
      </w:r>
      <w:bookmarkEnd w:id="73"/>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4" w:name="_Toc31179"/>
      <w:r>
        <w:rPr>
          <w:rFonts w:hint="eastAsia" w:ascii="仿宋_GB2312" w:hAnsi="仿宋_GB2312" w:eastAsia="仿宋_GB2312" w:cs="仿宋_GB2312"/>
          <w:b w:val="0"/>
          <w:bCs w:val="0"/>
          <w:kern w:val="2"/>
          <w:sz w:val="32"/>
          <w:szCs w:val="32"/>
          <w:shd w:val="clear" w:color="auto" w:fill="FDFDFC"/>
          <w:lang w:val="en-US" w:eastAsia="zh-CN" w:bidi="ar-SA"/>
        </w:rPr>
        <w:t>2020年我校有教学任务教师160人，正高职称者3人，副高职称者33人，硕士研究生学历16人，本科学历117人，双师型教师51人，教师结构合理，能够满足高技能人才的教学培训工作。2020年，我校教师有3人次在省级教师教学能力比赛中获得一等奖。</w:t>
      </w:r>
      <w:bookmarkEnd w:id="74"/>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5" w:name="_Toc22822"/>
      <w:r>
        <w:rPr>
          <w:rFonts w:hint="eastAsia" w:ascii="仿宋_GB2312" w:hAnsi="仿宋_GB2312" w:eastAsia="仿宋_GB2312" w:cs="仿宋_GB2312"/>
          <w:b w:val="0"/>
          <w:bCs w:val="0"/>
          <w:kern w:val="2"/>
          <w:sz w:val="32"/>
          <w:szCs w:val="32"/>
          <w:shd w:val="clear" w:color="auto" w:fill="FDFDFC"/>
          <w:lang w:val="en-US" w:eastAsia="zh-CN" w:bidi="ar-SA"/>
        </w:rPr>
        <w:t>目前我校有江西省首席技师2人，省政府特殊津贴获得者1人，江西省“能工巧匠”称号1人，江西省第一届黄炎培职业教育奖获得者1人，全国模范教师1人，省级大师工作室1个。</w:t>
      </w:r>
      <w:bookmarkEnd w:id="75"/>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6" w:name="_Toc29835"/>
      <w:r>
        <w:rPr>
          <w:rFonts w:hint="eastAsia" w:ascii="仿宋_GB2312" w:hAnsi="仿宋_GB2312" w:eastAsia="仿宋_GB2312" w:cs="仿宋_GB2312"/>
          <w:b w:val="0"/>
          <w:bCs w:val="0"/>
          <w:kern w:val="2"/>
          <w:sz w:val="32"/>
          <w:szCs w:val="32"/>
          <w:shd w:val="clear" w:color="auto" w:fill="FDFDFC"/>
          <w:lang w:val="en-US" w:eastAsia="zh-CN" w:bidi="ar-SA"/>
        </w:rPr>
        <w:t>（4）人才培养模式改革情况</w:t>
      </w:r>
      <w:bookmarkEnd w:id="76"/>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7" w:name="_Toc19950"/>
      <w:r>
        <w:rPr>
          <w:rFonts w:hint="eastAsia" w:ascii="仿宋_GB2312" w:hAnsi="仿宋_GB2312" w:eastAsia="仿宋_GB2312" w:cs="仿宋_GB2312"/>
          <w:b w:val="0"/>
          <w:bCs w:val="0"/>
          <w:kern w:val="2"/>
          <w:sz w:val="32"/>
          <w:szCs w:val="32"/>
          <w:shd w:val="clear" w:color="auto" w:fill="FDFDFC"/>
          <w:lang w:val="en-US" w:eastAsia="zh-CN" w:bidi="ar-SA"/>
        </w:rPr>
        <w:t>2020年，学校坚决践行立德树人的根本任务，重视学生的思想品质教育，积极倡导工匠精神、劳模精神，培养劳动意识，宣传红色文化，把社会主义核心价值观融入教学中去。人才培养从重技能轻理论向理论与技能并重转变，强化理论指导实践的作用。同时，加强校企合作，增加企业定向班比例，与企业共同制订人才培养方案，强化学生的创新能力、综合能力，培养更适应企业需求的高素质技能人才。</w:t>
      </w:r>
      <w:bookmarkEnd w:id="77"/>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8" w:name="_Toc30530"/>
      <w:r>
        <w:rPr>
          <w:rFonts w:hint="eastAsia" w:ascii="仿宋_GB2312" w:hAnsi="仿宋_GB2312" w:eastAsia="仿宋_GB2312" w:cs="仿宋_GB2312"/>
          <w:b w:val="0"/>
          <w:bCs w:val="0"/>
          <w:kern w:val="2"/>
          <w:sz w:val="32"/>
          <w:szCs w:val="32"/>
          <w:shd w:val="clear" w:color="auto" w:fill="FDFDFC"/>
          <w:lang w:val="en-US" w:eastAsia="zh-CN" w:bidi="ar-SA"/>
        </w:rPr>
        <w:t>（5）实训基地建设情况</w:t>
      </w:r>
      <w:bookmarkEnd w:id="78"/>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79" w:name="_Toc29241"/>
      <w:r>
        <w:rPr>
          <w:rFonts w:hint="eastAsia" w:ascii="仿宋_GB2312" w:hAnsi="仿宋_GB2312" w:eastAsia="仿宋_GB2312" w:cs="仿宋_GB2312"/>
          <w:b w:val="0"/>
          <w:bCs w:val="0"/>
          <w:kern w:val="2"/>
          <w:sz w:val="32"/>
          <w:szCs w:val="32"/>
          <w:shd w:val="clear" w:color="auto" w:fill="FDFDFC"/>
          <w:lang w:val="en-US" w:eastAsia="zh-CN" w:bidi="ar-SA"/>
        </w:rPr>
        <w:t>2020年，学校完成了全部教室的多媒体一体机安装，建成录播室一间，教学信息化进一步加强。新建微机室1个,同时改造微机室2个。</w:t>
      </w:r>
      <w:bookmarkEnd w:id="79"/>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80" w:name="_Toc5676"/>
      <w:r>
        <w:rPr>
          <w:rFonts w:hint="eastAsia" w:ascii="仿宋_GB2312" w:hAnsi="仿宋_GB2312" w:eastAsia="仿宋_GB2312" w:cs="仿宋_GB2312"/>
          <w:b w:val="0"/>
          <w:bCs w:val="0"/>
          <w:kern w:val="2"/>
          <w:sz w:val="32"/>
          <w:szCs w:val="32"/>
          <w:shd w:val="clear" w:color="auto" w:fill="FDFDFC"/>
          <w:lang w:val="en-US" w:eastAsia="zh-CN" w:bidi="ar-SA"/>
        </w:rPr>
        <w:t>（6）教学资源建设情况</w:t>
      </w:r>
      <w:bookmarkEnd w:id="80"/>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81" w:name="_Toc16059"/>
      <w:r>
        <w:rPr>
          <w:rFonts w:hint="eastAsia" w:ascii="仿宋_GB2312" w:hAnsi="仿宋_GB2312" w:eastAsia="仿宋_GB2312" w:cs="仿宋_GB2312"/>
          <w:b w:val="0"/>
          <w:bCs w:val="0"/>
          <w:kern w:val="2"/>
          <w:sz w:val="32"/>
          <w:szCs w:val="32"/>
          <w:shd w:val="clear" w:color="auto" w:fill="FDFDFC"/>
          <w:lang w:val="en-US" w:eastAsia="zh-CN" w:bidi="ar-SA"/>
        </w:rPr>
        <w:t>2020年，学校各专业（学科）教学组积极探讨，编制课程PPT共享使用。</w:t>
      </w:r>
      <w:bookmarkEnd w:id="81"/>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82" w:name="_Toc20230"/>
      <w:r>
        <w:rPr>
          <w:rFonts w:hint="eastAsia" w:ascii="仿宋_GB2312" w:hAnsi="仿宋_GB2312" w:eastAsia="仿宋_GB2312" w:cs="仿宋_GB2312"/>
          <w:b w:val="0"/>
          <w:bCs w:val="0"/>
          <w:kern w:val="2"/>
          <w:sz w:val="32"/>
          <w:szCs w:val="32"/>
          <w:shd w:val="clear" w:color="auto" w:fill="FDFDFC"/>
          <w:lang w:val="en-US" w:eastAsia="zh-CN" w:bidi="ar-SA"/>
        </w:rPr>
        <w:t>（7）教材选用情况</w:t>
      </w:r>
      <w:bookmarkEnd w:id="82"/>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83" w:name="_Toc27310"/>
      <w:r>
        <w:rPr>
          <w:rFonts w:hint="eastAsia" w:ascii="仿宋_GB2312" w:hAnsi="仿宋_GB2312" w:eastAsia="仿宋_GB2312" w:cs="仿宋_GB2312"/>
          <w:b w:val="0"/>
          <w:bCs w:val="0"/>
          <w:kern w:val="2"/>
          <w:sz w:val="32"/>
          <w:szCs w:val="32"/>
          <w:shd w:val="clear" w:color="auto" w:fill="FDFDFC"/>
          <w:lang w:val="en-US" w:eastAsia="zh-CN" w:bidi="ar-SA"/>
        </w:rPr>
        <w:t>学校严把教材选用关，由系部组织各专业（学科）教学组讨论选用正版教材，由教务科统一采购。</w:t>
      </w:r>
      <w:bookmarkEnd w:id="83"/>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84" w:name="_Toc13005"/>
      <w:r>
        <w:rPr>
          <w:rFonts w:hint="eastAsia" w:ascii="仿宋_GB2312" w:hAnsi="仿宋_GB2312" w:eastAsia="仿宋_GB2312" w:cs="仿宋_GB2312"/>
          <w:b w:val="0"/>
          <w:bCs w:val="0"/>
          <w:kern w:val="2"/>
          <w:sz w:val="32"/>
          <w:szCs w:val="32"/>
          <w:shd w:val="clear" w:color="auto" w:fill="FDFDFC"/>
          <w:lang w:val="en-US" w:eastAsia="zh-CN" w:bidi="ar-SA"/>
        </w:rPr>
        <w:t>（8）教学诊断与改进工作</w:t>
      </w:r>
      <w:bookmarkEnd w:id="84"/>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85" w:name="_Toc18204"/>
      <w:r>
        <w:rPr>
          <w:rFonts w:hint="eastAsia" w:ascii="仿宋_GB2312" w:hAnsi="仿宋_GB2312" w:eastAsia="仿宋_GB2312" w:cs="仿宋_GB2312"/>
          <w:b w:val="0"/>
          <w:bCs w:val="0"/>
          <w:kern w:val="2"/>
          <w:sz w:val="32"/>
          <w:szCs w:val="32"/>
          <w:shd w:val="clear" w:color="auto" w:fill="FDFDFC"/>
          <w:lang w:val="en-US" w:eastAsia="zh-CN" w:bidi="ar-SA"/>
        </w:rPr>
        <w:t>为做好教学诊断与改进工作，我校成立了由校长、党委书记担任组长，其它校领导任副组长、学校中层干部参与的学校领导小组，全面负责教学诊改工作，成立教学诊断与改进工作办公室，制定了《江西省轻工业高级技工学校教学诊断与改进实施方案》（试行），编制了教学诊断与改进数据采集工作参考手册，并按照省厅时间节点要求将诊改数据全部上传至服务器，并已完成了我校部分专业标准和部分课程标准的初稿。</w:t>
      </w:r>
      <w:bookmarkEnd w:id="85"/>
    </w:p>
    <w:p>
      <w:pPr>
        <w:pStyle w:val="4"/>
        <w:spacing w:before="156" w:after="156" w:line="500" w:lineRule="exact"/>
        <w:ind w:firstLine="723"/>
        <w:rPr>
          <w:rFonts w:hint="default"/>
        </w:rPr>
      </w:pPr>
      <w:bookmarkStart w:id="86" w:name="_Toc7256"/>
      <w:bookmarkStart w:id="87" w:name="_Toc31381"/>
      <w:bookmarkStart w:id="88" w:name="_Toc12146"/>
      <w:bookmarkStart w:id="89" w:name="_Toc19034"/>
      <w:r>
        <w:t>3.3教师培养培训</w:t>
      </w:r>
      <w:bookmarkEnd w:id="86"/>
      <w:bookmarkEnd w:id="87"/>
      <w:bookmarkEnd w:id="88"/>
      <w:bookmarkEnd w:id="89"/>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90" w:name="_Toc18087"/>
      <w:bookmarkStart w:id="91" w:name="_Toc11659"/>
      <w:bookmarkStart w:id="92" w:name="_Toc30609"/>
      <w:bookmarkStart w:id="93" w:name="_Toc16466"/>
      <w:bookmarkStart w:id="94" w:name="_Toc22352"/>
      <w:r>
        <w:rPr>
          <w:rFonts w:hint="eastAsia" w:ascii="仿宋_GB2312" w:hAnsi="仿宋_GB2312" w:eastAsia="仿宋_GB2312" w:cs="仿宋_GB2312"/>
          <w:b w:val="0"/>
          <w:bCs w:val="0"/>
          <w:kern w:val="2"/>
          <w:sz w:val="32"/>
          <w:szCs w:val="32"/>
          <w:shd w:val="clear" w:color="auto" w:fill="FDFDFC"/>
          <w:lang w:val="en-US" w:eastAsia="zh-CN" w:bidi="ar-SA"/>
        </w:rPr>
        <w:t>学校历来重视教师队伍建设，组织及安排各类培训，努力提升教师综合素质。2020年安排多场教师招聘，新进教师16人，其中硕士研究生4人，在上岗前由教务科和系部共同组织进行了为期一周的岗前培训。</w:t>
      </w:r>
      <w:bookmarkEnd w:id="90"/>
      <w:bookmarkEnd w:id="91"/>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95" w:name="_Toc7999"/>
      <w:bookmarkStart w:id="96" w:name="_Toc29931"/>
      <w:r>
        <w:rPr>
          <w:rFonts w:hint="eastAsia" w:ascii="仿宋_GB2312" w:hAnsi="仿宋_GB2312" w:eastAsia="仿宋_GB2312" w:cs="仿宋_GB2312"/>
          <w:b w:val="0"/>
          <w:bCs w:val="0"/>
          <w:kern w:val="2"/>
          <w:sz w:val="32"/>
          <w:szCs w:val="32"/>
          <w:shd w:val="clear" w:color="auto" w:fill="FDFDFC"/>
          <w:lang w:val="en-US" w:eastAsia="zh-CN" w:bidi="ar-SA"/>
        </w:rPr>
        <w:t>积极组织安排教师参加省教育厅、人社厅组织的教师培训，2020年共有25人次参加省级教师培训；同时多次组织教师参加校级素质提高培训。</w:t>
      </w:r>
      <w:bookmarkEnd w:id="95"/>
      <w:bookmarkEnd w:id="96"/>
    </w:p>
    <w:p>
      <w:pPr>
        <w:pStyle w:val="4"/>
        <w:spacing w:before="156" w:after="156" w:line="500" w:lineRule="exact"/>
        <w:ind w:firstLine="723"/>
        <w:rPr>
          <w:rFonts w:hint="default"/>
        </w:rPr>
      </w:pPr>
      <w:bookmarkStart w:id="97" w:name="_Toc25828"/>
      <w:r>
        <w:t>3.4规范管理情况</w:t>
      </w:r>
      <w:bookmarkEnd w:id="92"/>
      <w:bookmarkEnd w:id="93"/>
      <w:bookmarkEnd w:id="94"/>
      <w:bookmarkEnd w:id="97"/>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3.4.1教学管理</w:t>
      </w:r>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98" w:name="_Toc14295"/>
      <w:r>
        <w:rPr>
          <w:rFonts w:hint="eastAsia" w:ascii="仿宋_GB2312" w:hAnsi="仿宋_GB2312" w:eastAsia="仿宋_GB2312" w:cs="仿宋_GB2312"/>
          <w:b w:val="0"/>
          <w:bCs w:val="0"/>
          <w:kern w:val="2"/>
          <w:sz w:val="32"/>
          <w:szCs w:val="32"/>
          <w:shd w:val="clear" w:color="auto" w:fill="FDFDFC"/>
          <w:lang w:val="en-US" w:eastAsia="zh-CN" w:bidi="ar-SA"/>
        </w:rPr>
        <w:t>为规范教学管理，提升教学质量，提升管理信息化水平。2020年学校81个教室配备了一体机，建设语音录播室一间，启用了企业微信智慧校园软件，方便快捷地实现了无纸化办公。另外，学校制订了一系列的教学、实习管理制度初稿，待审议通过。</w:t>
      </w:r>
      <w:bookmarkEnd w:id="98"/>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3.4.2学生管理</w:t>
      </w:r>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99" w:name="_Toc14040"/>
      <w:r>
        <w:rPr>
          <w:rFonts w:hint="eastAsia" w:ascii="仿宋_GB2312" w:hAnsi="仿宋_GB2312" w:eastAsia="仿宋_GB2312" w:cs="仿宋_GB2312"/>
          <w:b w:val="0"/>
          <w:bCs w:val="0"/>
          <w:kern w:val="2"/>
          <w:sz w:val="32"/>
          <w:szCs w:val="32"/>
          <w:shd w:val="clear" w:color="auto" w:fill="FDFDFC"/>
          <w:lang w:val="en-US" w:eastAsia="zh-CN" w:bidi="ar-SA"/>
        </w:rPr>
        <w:t>学校不断强化管理责任意识，形成校长、分管领导、学生科、保卫科、班主任、学生会多层次立体学生管理模式；形成领导值周检查机制，每周由一名校领导带领二名中层干部，对全校的教学、学生管理、卫生、安保、课外活动等情况进行检查，晚上值班组组长要求住校，学生科至少一名值日人员守夜，如发生临时突发事件，必须第一时间到现场配合值周领导一起解决。</w:t>
      </w:r>
      <w:bookmarkEnd w:id="99"/>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0" w:name="_Toc28925"/>
      <w:r>
        <w:rPr>
          <w:rFonts w:hint="eastAsia" w:ascii="仿宋_GB2312" w:hAnsi="仿宋_GB2312" w:eastAsia="仿宋_GB2312" w:cs="仿宋_GB2312"/>
          <w:b w:val="0"/>
          <w:bCs w:val="0"/>
          <w:kern w:val="2"/>
          <w:sz w:val="32"/>
          <w:szCs w:val="32"/>
          <w:shd w:val="clear" w:color="auto" w:fill="FDFDFC"/>
          <w:lang w:val="en-US" w:eastAsia="zh-CN" w:bidi="ar-SA"/>
        </w:rPr>
        <w:t>学生科认真贯彻落实科学发展观，全面实施素质教育，紧紧围绕学校办学目标，提出了“关注过程，着眼细节，重在落实”的工作指导方针，学生科全体人员同心同德，齐心协力，围绕着校园安全稳定，学生纪律、卫生、教学秩序的保障，稳定生源等工作，埋头苦干，圆满完成了学校交给的各项任务。自推行系部改革以来，学生管理工作逐步迈向科学化、规范化和正常化的道路。在各系支持配合下，学生科工作处以加强基础文明教育，培养学生良好的学风为重点，树立育人意识、法制意识、服务意识及创新意识，充分发挥了学生管理工作在学校的稳定与发展中的积极作用。学生科不断完善学生管理制度，对纪律、卫生管理条例不断进行修改，符合学生实际情况，深入推进校园“8S”管理模式，具体有一下做法：</w:t>
      </w:r>
      <w:bookmarkEnd w:id="100"/>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1" w:name="_Toc259"/>
      <w:r>
        <w:rPr>
          <w:rFonts w:hint="eastAsia" w:ascii="仿宋_GB2312" w:hAnsi="仿宋_GB2312" w:eastAsia="仿宋_GB2312" w:cs="仿宋_GB2312"/>
          <w:b w:val="0"/>
          <w:bCs w:val="0"/>
          <w:kern w:val="2"/>
          <w:sz w:val="32"/>
          <w:szCs w:val="32"/>
          <w:shd w:val="clear" w:color="auto" w:fill="FDFDFC"/>
          <w:lang w:val="en-US" w:eastAsia="zh-CN" w:bidi="ar-SA"/>
        </w:rPr>
        <w:t>1）加强学生管理，落实各项规章制度</w:t>
      </w:r>
      <w:bookmarkEnd w:id="101"/>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2" w:name="_Toc10683"/>
      <w:r>
        <w:rPr>
          <w:rFonts w:hint="eastAsia" w:ascii="仿宋_GB2312" w:hAnsi="仿宋_GB2312" w:eastAsia="仿宋_GB2312" w:cs="仿宋_GB2312"/>
          <w:b w:val="0"/>
          <w:bCs w:val="0"/>
          <w:kern w:val="2"/>
          <w:sz w:val="32"/>
          <w:szCs w:val="32"/>
          <w:shd w:val="clear" w:color="auto" w:fill="FDFDFC"/>
          <w:lang w:val="en-US" w:eastAsia="zh-CN" w:bidi="ar-SA"/>
        </w:rPr>
        <w:t>2）努力加强各分管队伍建设</w:t>
      </w:r>
      <w:bookmarkEnd w:id="102"/>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3" w:name="_Toc10405"/>
      <w:r>
        <w:rPr>
          <w:rFonts w:hint="eastAsia" w:ascii="仿宋_GB2312" w:hAnsi="仿宋_GB2312" w:eastAsia="仿宋_GB2312" w:cs="仿宋_GB2312"/>
          <w:b w:val="0"/>
          <w:bCs w:val="0"/>
          <w:kern w:val="2"/>
          <w:sz w:val="32"/>
          <w:szCs w:val="32"/>
          <w:shd w:val="clear" w:color="auto" w:fill="FDFDFC"/>
          <w:lang w:val="en-US" w:eastAsia="zh-CN" w:bidi="ar-SA"/>
        </w:rPr>
        <w:t>3）狠抓学生养成教育，促进校园平安建设</w:t>
      </w:r>
      <w:bookmarkEnd w:id="103"/>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4" w:name="_Toc30306"/>
      <w:r>
        <w:rPr>
          <w:rFonts w:hint="eastAsia" w:ascii="仿宋_GB2312" w:hAnsi="仿宋_GB2312" w:eastAsia="仿宋_GB2312" w:cs="仿宋_GB2312"/>
          <w:b w:val="0"/>
          <w:bCs w:val="0"/>
          <w:kern w:val="2"/>
          <w:sz w:val="32"/>
          <w:szCs w:val="32"/>
          <w:shd w:val="clear" w:color="auto" w:fill="FDFDFC"/>
          <w:lang w:val="en-US" w:eastAsia="zh-CN" w:bidi="ar-SA"/>
        </w:rPr>
        <w:t>4）不断加强规章制度建设，保证学生管理工作的规范化和科学化</w:t>
      </w:r>
      <w:bookmarkEnd w:id="104"/>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5" w:name="_Toc19627"/>
      <w:r>
        <w:rPr>
          <w:rFonts w:hint="eastAsia" w:ascii="仿宋_GB2312" w:hAnsi="仿宋_GB2312" w:eastAsia="仿宋_GB2312" w:cs="仿宋_GB2312"/>
          <w:b w:val="0"/>
          <w:bCs w:val="0"/>
          <w:kern w:val="2"/>
          <w:sz w:val="32"/>
          <w:szCs w:val="32"/>
          <w:shd w:val="clear" w:color="auto" w:fill="FDFDFC"/>
          <w:lang w:val="en-US" w:eastAsia="zh-CN" w:bidi="ar-SA"/>
        </w:rPr>
        <w:t>5）修身立德，言传身教，树立榜样作用</w:t>
      </w:r>
      <w:bookmarkEnd w:id="105"/>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6" w:name="_Toc28292"/>
      <w:r>
        <w:rPr>
          <w:rFonts w:hint="eastAsia" w:ascii="仿宋_GB2312" w:hAnsi="仿宋_GB2312" w:eastAsia="仿宋_GB2312" w:cs="仿宋_GB2312"/>
          <w:b w:val="0"/>
          <w:bCs w:val="0"/>
          <w:kern w:val="2"/>
          <w:sz w:val="32"/>
          <w:szCs w:val="32"/>
          <w:shd w:val="clear" w:color="auto" w:fill="FDFDFC"/>
          <w:lang w:val="en-US" w:eastAsia="zh-CN" w:bidi="ar-SA"/>
        </w:rPr>
        <w:t>6）多渠道开辟育人阵地</w:t>
      </w:r>
      <w:bookmarkEnd w:id="106"/>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7" w:name="_Toc12623"/>
      <w:r>
        <w:rPr>
          <w:rFonts w:hint="eastAsia" w:ascii="仿宋_GB2312" w:hAnsi="仿宋_GB2312" w:eastAsia="仿宋_GB2312" w:cs="仿宋_GB2312"/>
          <w:b w:val="0"/>
          <w:bCs w:val="0"/>
          <w:kern w:val="2"/>
          <w:sz w:val="32"/>
          <w:szCs w:val="32"/>
          <w:shd w:val="clear" w:color="auto" w:fill="FDFDFC"/>
          <w:lang w:val="en-US" w:eastAsia="zh-CN" w:bidi="ar-SA"/>
        </w:rPr>
        <w:t>7）加强宣传，普及心理健康教育</w:t>
      </w:r>
      <w:bookmarkEnd w:id="107"/>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3.4.3财务管理</w:t>
      </w:r>
    </w:p>
    <w:p>
      <w:pPr>
        <w:pStyle w:val="4"/>
        <w:keepNext w:val="0"/>
        <w:keepLines w:val="0"/>
        <w:pageBreakBefore w:val="0"/>
        <w:widowControl w:val="0"/>
        <w:kinsoku/>
        <w:wordWrap/>
        <w:overflowPunct/>
        <w:topLinePunct w:val="0"/>
        <w:autoSpaceDE/>
        <w:autoSpaceDN/>
        <w:bidi w:val="0"/>
        <w:adjustRightInd/>
        <w:snapToGrid/>
        <w:spacing w:beforeLines="0" w:afterLines="0" w:line="500" w:lineRule="exact"/>
        <w:ind w:firstLine="640" w:firstLineChars="200"/>
        <w:textAlignment w:val="auto"/>
        <w:rPr>
          <w:rFonts w:hint="eastAsia" w:ascii="仿宋_GB2312" w:hAnsi="仿宋_GB2312" w:eastAsia="仿宋_GB2312" w:cs="仿宋_GB2312"/>
          <w:b w:val="0"/>
          <w:bCs w:val="0"/>
          <w:kern w:val="2"/>
          <w:sz w:val="32"/>
          <w:szCs w:val="32"/>
          <w:shd w:val="clear" w:color="auto" w:fill="FDFDFC"/>
          <w:lang w:val="en-US" w:eastAsia="zh-CN" w:bidi="ar-SA"/>
        </w:rPr>
      </w:pPr>
      <w:bookmarkStart w:id="108" w:name="_Toc27800"/>
      <w:r>
        <w:rPr>
          <w:rFonts w:hint="eastAsia" w:ascii="仿宋_GB2312" w:hAnsi="仿宋_GB2312" w:eastAsia="仿宋_GB2312" w:cs="仿宋_GB2312"/>
          <w:b w:val="0"/>
          <w:bCs w:val="0"/>
          <w:kern w:val="2"/>
          <w:sz w:val="32"/>
          <w:szCs w:val="32"/>
          <w:shd w:val="clear" w:color="auto" w:fill="FDFDFC"/>
          <w:lang w:val="en-US" w:eastAsia="zh-CN" w:bidi="ar-SA"/>
        </w:rPr>
        <w:t>学校财务工作稳步推进。一是针对学校情况，完善了相关财务管理制度，出台了新的财务管理暂行规定，拟定了学校内部控制制度，制定了差旅报销制度、票据管理制度和收费制度，还出台了学校资产管理及联合采购制度。二是进一步规范各项业务流程，对各项工作的各个环节和各项业务支付，严格按照有关制度执行办理，保证有章可依、有章必依。三是加强财务管理队伍建设，组织财务人员参加新会计制度等业务培训，明确各岗位职责。</w:t>
      </w:r>
      <w:bookmarkEnd w:id="108"/>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3.4.4安全管理</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根据省教育厅要求，强化安全教育管理机制，牢固树立“安全第一、预防为主”的思想，进一步落实安全教育全员化、管理队伍专业化、安全教育课程化的安全教育管理机制；落实安全责任，成立了以校长为核心的学校安全工作领导小组，并与各科室按照“一岗双责”要求层层签订安全工作责任书；加强督查，定期开展安全专项检查和整治活动；做好门卫值班、校园治安巡逻等内部安全管理制度的落实，严格执行24小时值班巡逻制度，确保管理上不留死角、不留空档；加强学校消防安全管理，制定和实施消防工作预案，落实火灾隐患的检查、整治措施；加强对学生防溺水教育和集体活动的安全管理，严禁学生私自到江河、湖泊、水塘等场所游泳；建立应急工作预案，增强对突发事故的防范和应急处理能力。2020年，学校消防安全、食品安全、学生人身安全等均未发生事故。</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3.4.5后勤管理</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学校加强后勤管理工作，保障学校的水电正常运转，及时抢修地下水管爆裂故障等问题，对报修的其它水电故障能及时修理到位，严格抓好政府采购工作。</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1）食堂管理方面：推行食堂店长负责制，店长为食堂管理责任人，全面落实国家、省、市对食品食材、人员健康等有关食堂管理规定要求，完善食堂内部管理制度，规范食材采购程序及渠道，提升饭菜质量。成立学生膳食委员会，与学校教师值周组进行检查，发现问题，及时反馈，督促整改，保障师生用餐质量。</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2）工程质量和后勤维修质量方面：采取工程及维修招投标方式，选择质优价廉的工程队伍，注重过程管理，全程留痕，学校监督小组全过程监督，多部门参与工程竣工验收，确保工程质量。</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3.4.</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lang w:eastAsia="zh-CN"/>
        </w:rPr>
        <w:t>实习</w:t>
      </w:r>
      <w:r>
        <w:rPr>
          <w:rFonts w:hint="eastAsia" w:ascii="仿宋_GB2312" w:hAnsi="仿宋_GB2312" w:eastAsia="仿宋_GB2312" w:cs="仿宋_GB2312"/>
          <w:b/>
          <w:bCs/>
          <w:sz w:val="32"/>
          <w:szCs w:val="32"/>
        </w:rPr>
        <w:t>管理</w:t>
      </w:r>
    </w:p>
    <w:p>
      <w:pPr>
        <w:pStyle w:val="2"/>
        <w:keepNext w:val="0"/>
        <w:keepLines w:val="0"/>
        <w:pageBreakBefore w:val="0"/>
        <w:widowControl w:val="0"/>
        <w:kinsoku/>
        <w:wordWrap/>
        <w:overflowPunct/>
        <w:topLinePunct w:val="0"/>
        <w:autoSpaceDE/>
        <w:autoSpaceDN/>
        <w:bidi w:val="0"/>
        <w:adjustRightInd/>
        <w:snapToGrid/>
        <w:spacing w:before="0" w:line="500" w:lineRule="exact"/>
        <w:ind w:left="113"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为了规范学生实习管理，加强实习安全教育，招生就业办不断总结经验，制定了《毕业生就业工作流程图》、《顶岗实习承诺书》、《顶岗实习前安全教育内容》、《就业服务工作方案》、《实习安全应急预案》、《学生毕业实习过程情况登记表》、《学生顶岗实习三方协议书》、《学生顶岗实习协议》、《学生实习管理规定》等一序列文件。</w:t>
      </w:r>
    </w:p>
    <w:p>
      <w:pPr>
        <w:pStyle w:val="4"/>
        <w:spacing w:before="156" w:after="156" w:line="500" w:lineRule="exact"/>
        <w:ind w:firstLine="723"/>
        <w:rPr>
          <w:rFonts w:hint="default"/>
        </w:rPr>
      </w:pPr>
      <w:bookmarkStart w:id="109" w:name="_Toc1869"/>
      <w:bookmarkStart w:id="110" w:name="_Toc26892"/>
      <w:bookmarkStart w:id="111" w:name="_Toc16189"/>
      <w:bookmarkStart w:id="112" w:name="_Toc31153"/>
      <w:r>
        <w:t>3.5德育工作情况</w:t>
      </w:r>
      <w:bookmarkEnd w:id="109"/>
      <w:bookmarkEnd w:id="110"/>
      <w:bookmarkEnd w:id="111"/>
      <w:bookmarkEnd w:id="112"/>
    </w:p>
    <w:p>
      <w:pPr>
        <w:spacing w:line="500" w:lineRule="exact"/>
        <w:ind w:firstLine="643" w:firstLineChars="200"/>
        <w:rPr>
          <w:rFonts w:hint="default" w:ascii="仿宋_GB2312" w:hAnsi="仿宋_GB2312" w:eastAsia="仿宋_GB2312" w:cs="仿宋_GB2312"/>
          <w:b/>
          <w:bCs/>
          <w:sz w:val="32"/>
          <w:szCs w:val="32"/>
          <w:lang w:val="en-US" w:eastAsia="zh-CN"/>
        </w:rPr>
      </w:pPr>
      <w:r>
        <w:rPr>
          <w:rFonts w:hint="eastAsia" w:ascii="仿宋_GB2312" w:eastAsia="仿宋_GB2312"/>
          <w:b/>
          <w:sz w:val="32"/>
          <w:szCs w:val="32"/>
        </w:rPr>
        <w:t>3.5.1</w:t>
      </w:r>
      <w:r>
        <w:rPr>
          <w:rFonts w:hint="eastAsia" w:ascii="仿宋_GB2312" w:hAnsi="仿宋_GB2312" w:eastAsia="仿宋_GB2312" w:cs="仿宋_GB2312"/>
          <w:b/>
          <w:bCs/>
          <w:sz w:val="32"/>
          <w:szCs w:val="32"/>
          <w:lang w:val="en-US" w:eastAsia="zh-CN"/>
        </w:rPr>
        <w:t>德育课实施情况</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非常重视思想政治教育，在教学上开满开足德育课，第一学年开设德育1（《道德法津与人生》，含工匠精神）、劳动、心理健康、安全教育等课程，第二学年开设德育2（《经济与政治常识》，含红色文化）、职业生涯规划等课程，第三学年开设德育3（《职业道德与职业指导》）、创业教育等课程。</w:t>
      </w:r>
    </w:p>
    <w:p>
      <w:pPr>
        <w:spacing w:line="500" w:lineRule="exact"/>
        <w:ind w:firstLine="643" w:firstLineChars="200"/>
        <w:rPr>
          <w:rFonts w:ascii="仿宋_GB2312" w:eastAsia="仿宋_GB2312"/>
          <w:b/>
          <w:sz w:val="32"/>
          <w:szCs w:val="32"/>
        </w:rPr>
      </w:pPr>
      <w:r>
        <w:rPr>
          <w:rFonts w:hint="eastAsia" w:ascii="仿宋_GB2312" w:eastAsia="仿宋_GB2312"/>
          <w:b/>
          <w:sz w:val="32"/>
          <w:szCs w:val="32"/>
        </w:rPr>
        <w:t>3.5.2校园文化建设</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充分发挥校内媒介文化育人的功能推进校园文化建设，传播校园正能量。利用校园广播、橱窗、墙报等加大宣传力度，结合全年各重要节日节点营造积极、阳光、向上的校园氛围；利用“两微一站”等新媒体平台，报道学校及职业教育新闻，外树形象，内聚人心。</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通过建设走廊文化、橱窗展示文化、特色景点、推进校园文化整体建设。通过主题团日活动、社会实践活动、文明风采、各种文艺演出、国旗下的爱国主义教育等系列活动。各类活动精彩纷呈，元旦主题文艺汇演精彩纷呈、18级幼教专业毕业晚会和茶艺班的毕业汇报更是现场高潮迭起，通过组织开展全校第九套广播体操比赛，让全校学生参与其中，凝聚班级力量。</w:t>
      </w:r>
    </w:p>
    <w:p>
      <w:pPr>
        <w:spacing w:line="500" w:lineRule="exact"/>
        <w:ind w:firstLine="643" w:firstLineChars="200"/>
        <w:rPr>
          <w:rFonts w:ascii="仿宋_GB2312" w:eastAsia="仿宋_GB2312"/>
          <w:b/>
          <w:sz w:val="32"/>
          <w:szCs w:val="32"/>
        </w:rPr>
      </w:pPr>
      <w:r>
        <w:rPr>
          <w:rFonts w:hint="eastAsia" w:ascii="仿宋_GB2312" w:eastAsia="仿宋_GB2312"/>
          <w:b/>
          <w:sz w:val="32"/>
          <w:szCs w:val="32"/>
        </w:rPr>
        <w:t>3.5.3文明风采活动开展情况</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学校广泛开展2020年江西省中等职业学校“文明风采”活动评选，以常态化的方法抓好“文明风采”大赛。本年度参加江西省中等职业学校“文明风采”活动荣获六个优秀奖，七名老师荣获优秀指导老师奖。</w:t>
      </w:r>
    </w:p>
    <w:p>
      <w:pPr>
        <w:spacing w:line="500" w:lineRule="exact"/>
        <w:ind w:firstLine="643" w:firstLineChars="200"/>
        <w:rPr>
          <w:rFonts w:ascii="仿宋_GB2312" w:eastAsia="仿宋_GB2312"/>
          <w:b/>
          <w:sz w:val="32"/>
          <w:szCs w:val="32"/>
        </w:rPr>
      </w:pPr>
      <w:r>
        <w:rPr>
          <w:rFonts w:hint="eastAsia" w:ascii="仿宋_GB2312" w:eastAsia="仿宋_GB2312"/>
          <w:b/>
          <w:sz w:val="32"/>
          <w:szCs w:val="32"/>
        </w:rPr>
        <w:t>3.5.4社团活动</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社团以“促进学生全面发展，培养个性特长，提高综合能力素质”为宗旨，根据学生的兴趣和发展的需要，分为文学、艺术、体育、社交公益四大类，开设了吉他、篮球、朗读、礼仪队，合唱团，爱心社等10多个社团。爱心社被宜春市袁州区希望之家评为优秀爱心社。开设中华优秀传统文化选修课，用中华民族优秀传统文化，提高中职生道德素质和人文素养。近年来，我校规范社团管理，完善社团组织建设，扩大社团种类，更加有序地开展社团活动，并取得了可喜的成绩。2020年，按照宜春市要求我校成立团校。团校是学生骨干进行思想政治教育的重要平台，是对团校学员进行系统培训的有效途径。团校的先进性、组织性、纪律性，进一步提高广大团校学员的理论水平和思想境界，使他们在学习、生活、工作中充分发挥先锋模范带头作用。</w:t>
      </w:r>
    </w:p>
    <w:p>
      <w:pPr>
        <w:spacing w:line="500" w:lineRule="exact"/>
        <w:ind w:firstLine="643" w:firstLineChars="200"/>
        <w:rPr>
          <w:rFonts w:ascii="仿宋_GB2312" w:eastAsia="仿宋_GB2312"/>
          <w:b/>
          <w:sz w:val="32"/>
          <w:szCs w:val="32"/>
        </w:rPr>
      </w:pPr>
      <w:r>
        <w:rPr>
          <w:rFonts w:hint="eastAsia" w:ascii="仿宋_GB2312" w:eastAsia="仿宋_GB2312"/>
          <w:b/>
          <w:sz w:val="32"/>
          <w:szCs w:val="32"/>
        </w:rPr>
        <w:t>3.5.5团学组织建设及活动</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共青团江西省轻工业高级技工学校委员会是学校开展学生思想政治工作的重要载体，在组织管理上，我们形成了学校团委、系部团总支、班级团支部三级委员会联合管理体系，加强学生团委干部队伍建设。我们还坚持每周一次的团委委员会和每周一次的团支书例会，并定期召开全校团支部书记会议，全面提升学生团委干部队伍的工作效率，充分发挥共青团组织联系青年的桥梁作用。志愿者活动、社团活动、文艺活动常态化开展。围绕学校中心工作，以育人为目的，团委工作在培养学生“自我教育”、“自我管理”、“自我服务”的意识中顺利开展。</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我校学生会具备较完善的组织结构，下设纪律部、卫生部、管理部、学习部、治保部、生活部、膳食委员会7个部门。各部门职责清晰，分工明确，为维护学校秩序稳定、服务师生做出了重要贡献。</w:t>
      </w:r>
    </w:p>
    <w:p>
      <w:pPr>
        <w:pStyle w:val="4"/>
        <w:spacing w:before="156" w:after="156" w:line="500" w:lineRule="exact"/>
        <w:ind w:firstLine="723"/>
        <w:rPr>
          <w:rFonts w:hint="default"/>
        </w:rPr>
      </w:pPr>
      <w:bookmarkStart w:id="113" w:name="_Toc7000"/>
      <w:bookmarkStart w:id="114" w:name="_Toc13693"/>
      <w:bookmarkStart w:id="115" w:name="_Toc30408"/>
      <w:bookmarkStart w:id="116" w:name="_Toc30654"/>
      <w:r>
        <w:t>3.6党建情况</w:t>
      </w:r>
      <w:bookmarkEnd w:id="113"/>
      <w:bookmarkEnd w:id="114"/>
      <w:bookmarkEnd w:id="115"/>
      <w:bookmarkEnd w:id="116"/>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bookmarkStart w:id="117" w:name="_Toc17955"/>
      <w:bookmarkStart w:id="118" w:name="_Toc32684"/>
      <w:bookmarkStart w:id="119" w:name="_Toc1331"/>
      <w:r>
        <w:rPr>
          <w:rFonts w:hint="eastAsia" w:ascii="仿宋_GB2312" w:eastAsia="仿宋_GB2312"/>
          <w:bCs/>
          <w:sz w:val="32"/>
          <w:szCs w:val="32"/>
        </w:rPr>
        <w:t>2</w:t>
      </w:r>
      <w:r>
        <w:rPr>
          <w:rFonts w:hint="eastAsia" w:ascii="仿宋_GB2312" w:hAnsi="仿宋_GB2312" w:eastAsia="仿宋_GB2312" w:cs="仿宋_GB2312"/>
          <w:b w:val="0"/>
          <w:bCs w:val="0"/>
          <w:kern w:val="2"/>
          <w:sz w:val="32"/>
          <w:szCs w:val="32"/>
          <w:shd w:val="clear" w:color="auto" w:fill="FDFDFC"/>
          <w:lang w:val="en-US" w:eastAsia="zh-CN" w:bidi="ar-SA"/>
        </w:rPr>
        <w:t>020年，学校党委在省委教育工委的正确领导下，按照上级的部署和要求，以习近平新时代中国特色社会主义思想为指导，深入学习贯彻党的十九大精神和十九届四中、五中全会精神，全面落实新时代党的建设总要求，坚持和加强党的全面领导，坚持党要管党、全面从严治党，以巩固“不忘初心、牢记使命”主题教育成果为抓手，紧紧围绕学校中心工作，充分发挥党支部的战斗堡垒作用和共产党员的先锋模范作用，为确保学校各项工作目标任务的完成提供了有力的思想和组织保证。</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学校成立党委，下辖三个党支部，现有党员67名，其中预备党员2名。党员中女党员16人，少数民族党员1人，35岁及以下党员13人。</w:t>
      </w:r>
    </w:p>
    <w:p>
      <w:pPr>
        <w:widowControl/>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一、坚持从严从实，加强政治建设和思想建设</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一是把政治建设摆在首位。深入学习贯彻落实习近平新时代中国特色社会主义思想，教育引导全体党员增强“四个意识”，坚定“四个自信”，做到“两个维护”，坚持把学习教育贯穿始终，强化理论武装，做到学以致用，一年来，组织党员专题学习30次，每次学习都进行了交流发言。二是把学习贯彻习近平新时代中国特色社会主义思想和党的十九大精神作为重点任务来抓，牢牢把握“坚持党对一切工作的领导”这一根本原则，坚持党要管党、全面从严治党这一指导方针。打破传统学习方式，运用“互联网+”思维，突破党建学习在时间、空间上的局限，打通党建“最后一公里”。借助微信公众号、学习强国等新型学习工具，拓宽党员的知识面，增强党员的党性修养，更好发挥引领作用。</w:t>
      </w:r>
    </w:p>
    <w:p>
      <w:pPr>
        <w:widowControl/>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二、坚持“三化”建设，助推基层党建高质量发展</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一是组织党支部标准化、规范化、信息化自评自查，对照考评标准补齐短板、强化基础、提升水平。二是校党委不定期督促各支部认真开展“三会一课”和党日活动，严格按照一会三评的程序开展组织生活会，做好民主评议党员工作，完成支部书记双述双评。三是严把党员发展关口，按步骤、按要求做好党员发展转正工作。</w:t>
      </w:r>
    </w:p>
    <w:p>
      <w:pPr>
        <w:widowControl/>
        <w:spacing w:line="520" w:lineRule="exact"/>
        <w:ind w:firstLine="640" w:firstLineChars="200"/>
        <w:rPr>
          <w:rFonts w:ascii="黑体" w:hAnsi="黑体" w:eastAsia="黑体" w:cs="黑体"/>
          <w:kern w:val="0"/>
          <w:sz w:val="32"/>
          <w:szCs w:val="32"/>
        </w:rPr>
      </w:pPr>
      <w:r>
        <w:rPr>
          <w:rFonts w:hint="eastAsia" w:ascii="黑体" w:hAnsi="黑体" w:eastAsia="黑体" w:cs="黑体"/>
          <w:kern w:val="0"/>
          <w:sz w:val="32"/>
          <w:szCs w:val="32"/>
        </w:rPr>
        <w:t>三、坚持风清气正，落实党风廉政建设责任</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一是坚持把全面从严治党与学校中心工作同部署、同推进、同检查、同考核，严格执行新形势下党内政治生活若干准则，落实“三会一课”等组织生活基本制度，学校领导班子带头落实双重组织生活制度。二是层层签订全面从严治党党风廉政建设责任书，制定党风廉政建设“两个责任四张清单”。对涉及党风廉政建设的重要工作主要领导亲自部署，重大问题亲自过问，重点环节亲自协调，做到了管党治党政治责任层层传导、层层压实。三是持之以恒抓好作风建设，热心为师生服务，全校上下工作作风、教风、师德师风进一步好转。四是加强过程监督，学校“三重一大”事项由学校党委会集体决策，严格贯彻落实中央八项规定、坚决反对“四风”，招待、会议和活动等支出管理制度进一步健全。</w:t>
      </w:r>
    </w:p>
    <w:p>
      <w:pPr>
        <w:pStyle w:val="3"/>
        <w:spacing w:before="312" w:after="312" w:line="500" w:lineRule="exact"/>
      </w:pPr>
      <w:bookmarkStart w:id="120" w:name="_Toc9984"/>
      <w:r>
        <w:rPr>
          <w:rFonts w:hint="eastAsia"/>
        </w:rPr>
        <w:t>4.校企合作</w:t>
      </w:r>
      <w:bookmarkEnd w:id="117"/>
      <w:bookmarkEnd w:id="118"/>
      <w:bookmarkEnd w:id="119"/>
      <w:bookmarkEnd w:id="120"/>
    </w:p>
    <w:p>
      <w:pPr>
        <w:pStyle w:val="4"/>
        <w:spacing w:before="156" w:after="156" w:line="500" w:lineRule="exact"/>
        <w:ind w:firstLine="723"/>
        <w:rPr>
          <w:rFonts w:hint="default"/>
        </w:rPr>
      </w:pPr>
      <w:bookmarkStart w:id="121" w:name="_Toc1469"/>
      <w:bookmarkStart w:id="122" w:name="_Toc29366"/>
      <w:bookmarkStart w:id="123" w:name="_Toc1277"/>
      <w:bookmarkStart w:id="124" w:name="_Toc4270"/>
      <w:r>
        <w:t>4.1 校企合作开展情况和效果</w:t>
      </w:r>
      <w:bookmarkEnd w:id="121"/>
      <w:bookmarkEnd w:id="122"/>
      <w:bookmarkEnd w:id="123"/>
      <w:bookmarkEnd w:id="124"/>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高度重视校企合作工作，始终坚持以市场为导向，积极引进优质企业，大力推进产教融合、校企合作办学，不断健全校企合作选拔和淘汰机制，完善校企合作质量评价体系，持续推动校企合作的良性和深入发展。目前，学校每届校企合作冠名班学生约200人，占年级总人数的20%左右，如与鸿准精密模具有限公司设立模具专业“鸿准班”，与上海大众设立汽修专业“大众班”，与微盟电子（昆山）有限公司设立计算机专业“微盟班”，与环鸿电子（昆山）有限公司设立计算机专业“环鸿班”。除此之外，还与南昌海立电器有限公司、昆山圣美模具有限公司、珠海纳思达科技有限公司、深圳雏鹰幼教机构等大批优质企业合作，建立符合现代企业需求的中高级技能人才培养基地，使人才培养更加贴近企业实际，使毕业生素质更加适应岗位能力，就业竞争力显著增强。</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一是定向班的学生学习态度较好，积极性较高，有利于促进学习和成长，其次较早接触了解企业，不但能增进学生对企业的认同感，更能稳定就业。</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二是我校学生多次在校企合作企业所举办的大赛中收获好成绩。</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三是深化校企合作，打造省级重点创新创业型高素质人才培养孵化基地</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【案例】</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bookmarkStart w:id="125" w:name="_Toc26816"/>
      <w:bookmarkStart w:id="126" w:name="_Toc17526"/>
      <w:bookmarkStart w:id="127" w:name="_Toc26098"/>
      <w:r>
        <w:rPr>
          <w:rFonts w:hint="eastAsia" w:ascii="仿宋_GB2312" w:hAnsi="仿宋_GB2312" w:eastAsia="仿宋_GB2312" w:cs="仿宋_GB2312"/>
          <w:b w:val="0"/>
          <w:bCs w:val="0"/>
          <w:kern w:val="2"/>
          <w:sz w:val="32"/>
          <w:szCs w:val="32"/>
          <w:shd w:val="clear" w:color="auto" w:fill="FDFDFC"/>
          <w:lang w:val="en-US" w:eastAsia="zh-CN" w:bidi="ar-SA"/>
        </w:rPr>
        <w:t>2020年1月，学校与上海赣霖科技有限公司秉持培养一批互联网时代电子商务创新创业高素质应用型人才的共同愿景，采用深层次的紧密型校合作模式开展合作。赣霖科技在学校建立人才孵化基地，企业办公地点设在学校实训中心，开展人才培养试点，以培养出“招来就能用”的、适用于互联网企业的、且具备创新创业能力的人才。上海赣霖科技有限公司由我校校友王志林先生2017年5月创立于上海，是一家专注于蔬菜、水果等生鲜领域的新型互联网公司。校企合作的具体内容有：</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1）教学模式及教学内容：教学模式为“工学交替，理论+实践”。赣霖科技配备4-6名企业高管作为培训讲师，就企业各岗位实际需要掌握的技能、知识做课程化培育，同时提供相应实践岗位，学以致用。学校与企业共同培养学生，合理安排好学生理论和实践课程。新增教学内容主要包括：企业文化以及行业前景，基本系统操作，网店商户案例实操，运营网络店铺工作流程。</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2）合作原则：经企业培训考核录用到企业上岗实习的学生按照学校的相关规定管理。学生在企业上岗实习，只作为专业教学的一个环节，学生到了第六个学期的顶岗实习期间，身份转变为“顶岗实习生”，企业与学生签订顶岗实习（就业）协议，且按照国家教育管理部门相关规定给予学生合法的劳动报酬。</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3）培养对象</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学校2018级和2019级电子商务专业全体学生，结合企业实际情况，分批次分班级交替进行试点培养。</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四是加强校校合作，为中职毕业生打造上升通道。</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【案例】</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为搭建“学历+技能”复合型教育模式平台，打造重点专业建设特色，为学生专业纵深发展探索道路。2020年3月，我校与宜春职业技术学院签署校校合作协议，探索幼儿教育、健康服务与管理两个专业的“学历+技能”复合型教育模式。这种“中高职对接战略合作”为学生成长成才搭建了一座新的桥梁，实现了中高职教育贯通培养。具体情况如下：</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1）我校幼儿教育、健康服务与管理专业基本情况分析</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我校幼儿教育专业在校生约846人，毕业生约256人，是我校人数最多的一个专业，但是在近几年的培养发展中发现中职毕业生不能参加幼儿园教师资格证考试，很多想报读我校的学生因为学历问题而犹豫不决，而幼儿园也更青睐有幼儿园教师资格证的毕业生。</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健康服务与管理专业是我校新开办的专业，当前我国老龄化问题越来越严重，对于专业的护理人员的需求量也越来越大，但我国护理服务的市场需求和供给之间，存在着质和量的巨大差距。学校适时开设社会急需的专业，更需要与优质高职院校合作，来提升专业质量和水平。</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2）合作院校（宜春职业技术学院）情况介绍</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宜春职业技术学院是2003年6月经江西省人民政府批准、国家教育部备案，由宜春师范（1908年）、宜春卫校（1958年）、宜春技校（1979年）、宜春财校（1984年）四校合并成立的的公办全日制专科层次普通高校。是江西省示范性高职院校、江西省优质专科高职院校、江西省“双高”计划优势特色专业建设院校。学前教育、护理两个专业是该校的特色专业，具有深厚的专业积淀以及良好的就业前景。</w:t>
      </w:r>
    </w:p>
    <w:p>
      <w:pPr>
        <w:spacing w:line="500" w:lineRule="exact"/>
        <w:ind w:firstLine="640" w:firstLineChars="200"/>
        <w:rPr>
          <w:rFonts w:hint="eastAsia" w:ascii="仿宋_GB2312" w:hAnsi="仿宋_GB2312" w:eastAsia="仿宋_GB2312" w:cs="仿宋_GB2312"/>
          <w:b w:val="0"/>
          <w:bCs w:val="0"/>
          <w:kern w:val="2"/>
          <w:sz w:val="32"/>
          <w:szCs w:val="32"/>
          <w:shd w:val="clear" w:color="auto" w:fill="FDFDFC"/>
          <w:lang w:val="en-US" w:eastAsia="zh-CN" w:bidi="ar-SA"/>
        </w:rPr>
      </w:pPr>
      <w:r>
        <w:rPr>
          <w:rFonts w:hint="eastAsia" w:ascii="仿宋_GB2312" w:hAnsi="仿宋_GB2312" w:eastAsia="仿宋_GB2312" w:cs="仿宋_GB2312"/>
          <w:b w:val="0"/>
          <w:bCs w:val="0"/>
          <w:kern w:val="2"/>
          <w:sz w:val="32"/>
          <w:szCs w:val="32"/>
          <w:shd w:val="clear" w:color="auto" w:fill="FDFDFC"/>
          <w:lang w:val="en-US" w:eastAsia="zh-CN" w:bidi="ar-SA"/>
        </w:rPr>
        <w:t>3）校校合作开设专业、学制及人数</w:t>
      </w:r>
    </w:p>
    <w:tbl>
      <w:tblPr>
        <w:tblStyle w:val="13"/>
        <w:tblW w:w="9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473"/>
        <w:gridCol w:w="1703"/>
        <w:gridCol w:w="933"/>
        <w:gridCol w:w="290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888" w:type="dxa"/>
            <w:noWrap w:val="0"/>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lang w:val="en-US" w:eastAsia="zh-CN"/>
              </w:rPr>
              <w:t>序号</w:t>
            </w:r>
          </w:p>
        </w:tc>
        <w:tc>
          <w:tcPr>
            <w:tcW w:w="2473" w:type="dxa"/>
            <w:noWrap w:val="0"/>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lang w:val="en-US" w:eastAsia="zh-CN"/>
              </w:rPr>
              <w:t>技校专业</w:t>
            </w:r>
          </w:p>
        </w:tc>
        <w:tc>
          <w:tcPr>
            <w:tcW w:w="1703" w:type="dxa"/>
            <w:noWrap w:val="0"/>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lang w:val="en-US" w:eastAsia="zh-CN"/>
              </w:rPr>
              <w:t>大专专业</w:t>
            </w:r>
          </w:p>
        </w:tc>
        <w:tc>
          <w:tcPr>
            <w:tcW w:w="933" w:type="dxa"/>
            <w:noWrap w:val="0"/>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lang w:val="en-US" w:eastAsia="zh-CN"/>
              </w:rPr>
              <w:t>学制</w:t>
            </w:r>
          </w:p>
        </w:tc>
        <w:tc>
          <w:tcPr>
            <w:tcW w:w="2908" w:type="dxa"/>
            <w:noWrap w:val="0"/>
            <w:vAlign w:val="center"/>
          </w:tcPr>
          <w:p>
            <w:pPr>
              <w:jc w:val="center"/>
              <w:rPr>
                <w:rFonts w:hint="eastAsia" w:ascii="仿宋_GB2312" w:hAnsi="仿宋_GB2312" w:eastAsia="仿宋_GB2312" w:cs="仿宋_GB2312"/>
                <w:b/>
                <w:bCs/>
                <w:sz w:val="28"/>
                <w:szCs w:val="28"/>
                <w:vertAlign w:val="baseline"/>
                <w:lang w:val="en-US" w:eastAsia="zh-CN"/>
              </w:rPr>
            </w:pPr>
            <w:r>
              <w:rPr>
                <w:rFonts w:hint="eastAsia" w:ascii="仿宋_GB2312" w:hAnsi="仿宋_GB2312" w:eastAsia="仿宋_GB2312" w:cs="仿宋_GB2312"/>
                <w:b/>
                <w:bCs/>
                <w:sz w:val="28"/>
                <w:szCs w:val="28"/>
                <w:lang w:val="en-US" w:eastAsia="zh-CN"/>
              </w:rPr>
              <w:t>层次及证书</w:t>
            </w:r>
          </w:p>
        </w:tc>
        <w:tc>
          <w:tcPr>
            <w:tcW w:w="992" w:type="dxa"/>
            <w:noWrap w:val="0"/>
            <w:vAlign w:val="center"/>
          </w:tcPr>
          <w:p>
            <w:pPr>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人数</w:t>
            </w:r>
          </w:p>
          <w:p>
            <w:pPr>
              <w:jc w:val="center"/>
              <w:rPr>
                <w:rFonts w:hint="eastAsia" w:ascii="仿宋_GB2312" w:hAnsi="仿宋_GB2312" w:eastAsia="仿宋_GB2312" w:cs="仿宋_GB2312"/>
                <w:b/>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88"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1</w:t>
            </w:r>
          </w:p>
        </w:tc>
        <w:tc>
          <w:tcPr>
            <w:tcW w:w="2473"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幼儿教育</w:t>
            </w:r>
          </w:p>
        </w:tc>
        <w:tc>
          <w:tcPr>
            <w:tcW w:w="1703"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学前教育</w:t>
            </w:r>
          </w:p>
        </w:tc>
        <w:tc>
          <w:tcPr>
            <w:tcW w:w="933"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3+3</w:t>
            </w:r>
          </w:p>
        </w:tc>
        <w:tc>
          <w:tcPr>
            <w:tcW w:w="29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技校毕业证、中级工证书、大专毕业证</w:t>
            </w:r>
          </w:p>
        </w:tc>
        <w:tc>
          <w:tcPr>
            <w:tcW w:w="992" w:type="dxa"/>
            <w:noWrap w:val="0"/>
            <w:vAlign w:val="center"/>
          </w:tcPr>
          <w:p>
            <w:pPr>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100</w:t>
            </w:r>
          </w:p>
          <w:p>
            <w:pPr>
              <w:jc w:val="center"/>
              <w:rPr>
                <w:rFonts w:hint="eastAsia" w:ascii="仿宋_GB2312" w:hAnsi="仿宋_GB2312" w:eastAsia="仿宋_GB2312" w:cs="仿宋_GB2312"/>
                <w:b w:val="0"/>
                <w:bCs w:val="0"/>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jc w:val="center"/>
        </w:trPr>
        <w:tc>
          <w:tcPr>
            <w:tcW w:w="888"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2</w:t>
            </w:r>
          </w:p>
        </w:tc>
        <w:tc>
          <w:tcPr>
            <w:tcW w:w="2473"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健康服务与管理</w:t>
            </w:r>
          </w:p>
        </w:tc>
        <w:tc>
          <w:tcPr>
            <w:tcW w:w="1703"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护理</w:t>
            </w:r>
          </w:p>
        </w:tc>
        <w:tc>
          <w:tcPr>
            <w:tcW w:w="933" w:type="dxa"/>
            <w:noWrap w:val="0"/>
            <w:vAlign w:val="center"/>
          </w:tcPr>
          <w:p>
            <w:pPr>
              <w:jc w:val="center"/>
              <w:rPr>
                <w:rFonts w:hint="eastAsia" w:ascii="仿宋_GB2312" w:hAnsi="仿宋_GB2312" w:eastAsia="仿宋_GB2312" w:cs="仿宋_GB2312"/>
                <w:b w:val="0"/>
                <w:bCs w:val="0"/>
                <w:sz w:val="28"/>
                <w:szCs w:val="28"/>
                <w:vertAlign w:val="baseline"/>
                <w:lang w:val="en-US" w:eastAsia="zh-CN"/>
              </w:rPr>
            </w:pPr>
            <w:r>
              <w:rPr>
                <w:rFonts w:hint="eastAsia" w:ascii="仿宋_GB2312" w:hAnsi="仿宋_GB2312" w:eastAsia="仿宋_GB2312" w:cs="仿宋_GB2312"/>
                <w:b w:val="0"/>
                <w:bCs w:val="0"/>
                <w:sz w:val="28"/>
                <w:szCs w:val="28"/>
                <w:lang w:val="en-US" w:eastAsia="zh-CN"/>
              </w:rPr>
              <w:t>3+3</w:t>
            </w:r>
          </w:p>
        </w:tc>
        <w:tc>
          <w:tcPr>
            <w:tcW w:w="2908" w:type="dxa"/>
            <w:vMerge w:val="continue"/>
            <w:noWrap w:val="0"/>
            <w:vAlign w:val="center"/>
          </w:tcPr>
          <w:p>
            <w:pPr>
              <w:jc w:val="center"/>
              <w:rPr>
                <w:rFonts w:hint="eastAsia" w:ascii="仿宋_GB2312" w:hAnsi="仿宋_GB2312" w:eastAsia="仿宋_GB2312" w:cs="仿宋_GB2312"/>
                <w:b w:val="0"/>
                <w:bCs w:val="0"/>
                <w:sz w:val="28"/>
                <w:szCs w:val="28"/>
                <w:vertAlign w:val="baseline"/>
                <w:lang w:val="en-US" w:eastAsia="zh-CN"/>
              </w:rPr>
            </w:pPr>
          </w:p>
        </w:tc>
        <w:tc>
          <w:tcPr>
            <w:tcW w:w="992" w:type="dxa"/>
            <w:noWrap w:val="0"/>
            <w:vAlign w:val="center"/>
          </w:tcPr>
          <w:p>
            <w:pPr>
              <w:jc w:val="center"/>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100</w:t>
            </w:r>
          </w:p>
          <w:p>
            <w:pPr>
              <w:jc w:val="center"/>
              <w:rPr>
                <w:rFonts w:hint="eastAsia" w:ascii="仿宋_GB2312" w:hAnsi="仿宋_GB2312" w:eastAsia="仿宋_GB2312" w:cs="仿宋_GB2312"/>
                <w:b w:val="0"/>
                <w:bCs w:val="0"/>
                <w:sz w:val="28"/>
                <w:szCs w:val="28"/>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两校本着“创新发展、资源共享、校校联动、合作共赢”的原则，</w:t>
      </w:r>
      <w:r>
        <w:rPr>
          <w:rFonts w:hint="eastAsia" w:ascii="仿宋_GB2312" w:hAnsi="仿宋_GB2312" w:eastAsia="仿宋_GB2312" w:cs="仿宋_GB2312"/>
          <w:sz w:val="32"/>
          <w:szCs w:val="32"/>
          <w:lang w:val="en-US" w:eastAsia="zh-CN"/>
        </w:rPr>
        <w:t>开展</w:t>
      </w:r>
      <w:r>
        <w:rPr>
          <w:rFonts w:hint="default" w:ascii="仿宋_GB2312" w:hAnsi="仿宋_GB2312" w:eastAsia="仿宋_GB2312" w:cs="仿宋_GB2312"/>
          <w:sz w:val="32"/>
          <w:szCs w:val="32"/>
          <w:lang w:val="en-US" w:eastAsia="zh-CN"/>
        </w:rPr>
        <w:t>“中高职对接战略合作”，学生在前三学年由我校负责入学注册及入学后的教学与管理工作，在校的第三年第二学期，参加三校生单招考试，如</w:t>
      </w:r>
      <w:r>
        <w:rPr>
          <w:rFonts w:hint="eastAsia" w:ascii="仿宋_GB2312" w:hAnsi="仿宋_GB2312" w:eastAsia="仿宋_GB2312" w:cs="仿宋_GB2312"/>
          <w:sz w:val="32"/>
          <w:szCs w:val="32"/>
          <w:lang w:val="en-US" w:eastAsia="zh-CN"/>
        </w:rPr>
        <w:t>考试</w:t>
      </w:r>
      <w:r>
        <w:rPr>
          <w:rFonts w:hint="default" w:ascii="仿宋_GB2312" w:hAnsi="仿宋_GB2312" w:eastAsia="仿宋_GB2312" w:cs="仿宋_GB2312"/>
          <w:sz w:val="32"/>
          <w:szCs w:val="32"/>
          <w:lang w:val="en-US" w:eastAsia="zh-CN"/>
        </w:rPr>
        <w:t>分数</w:t>
      </w:r>
      <w:r>
        <w:rPr>
          <w:rFonts w:hint="eastAsia" w:ascii="仿宋_GB2312" w:hAnsi="仿宋_GB2312" w:eastAsia="仿宋_GB2312" w:cs="仿宋_GB2312"/>
          <w:sz w:val="32"/>
          <w:szCs w:val="32"/>
          <w:lang w:val="en-US" w:eastAsia="zh-CN"/>
        </w:rPr>
        <w:t>达到</w:t>
      </w:r>
      <w:r>
        <w:rPr>
          <w:rFonts w:hint="default" w:ascii="仿宋_GB2312" w:hAnsi="仿宋_GB2312" w:eastAsia="仿宋_GB2312" w:cs="仿宋_GB2312"/>
          <w:sz w:val="32"/>
          <w:szCs w:val="32"/>
          <w:lang w:val="en-US" w:eastAsia="zh-CN"/>
        </w:rPr>
        <w:t>要求，则</w:t>
      </w:r>
      <w:r>
        <w:rPr>
          <w:rFonts w:hint="eastAsia" w:ascii="仿宋_GB2312" w:hAnsi="仿宋_GB2312" w:eastAsia="仿宋_GB2312" w:cs="仿宋_GB2312"/>
          <w:sz w:val="32"/>
          <w:szCs w:val="32"/>
          <w:lang w:val="en-US" w:eastAsia="zh-CN"/>
        </w:rPr>
        <w:t>升</w:t>
      </w:r>
      <w:r>
        <w:rPr>
          <w:rFonts w:hint="default" w:ascii="仿宋_GB2312" w:hAnsi="仿宋_GB2312" w:eastAsia="仿宋_GB2312" w:cs="仿宋_GB2312"/>
          <w:sz w:val="32"/>
          <w:szCs w:val="32"/>
          <w:lang w:val="en-US" w:eastAsia="zh-CN"/>
        </w:rPr>
        <w:t>入宜春职业技术学院</w:t>
      </w:r>
      <w:r>
        <w:rPr>
          <w:rFonts w:hint="eastAsia" w:ascii="仿宋_GB2312" w:hAnsi="仿宋_GB2312" w:eastAsia="仿宋_GB2312" w:cs="仿宋_GB2312"/>
          <w:sz w:val="32"/>
          <w:szCs w:val="32"/>
          <w:lang w:val="en-US" w:eastAsia="zh-CN"/>
        </w:rPr>
        <w:t>学习。</w:t>
      </w:r>
      <w:r>
        <w:rPr>
          <w:rFonts w:hint="default" w:ascii="仿宋_GB2312" w:hAnsi="仿宋_GB2312" w:eastAsia="仿宋_GB2312" w:cs="仿宋_GB2312"/>
          <w:sz w:val="32"/>
          <w:szCs w:val="32"/>
          <w:lang w:val="en-US" w:eastAsia="zh-CN"/>
        </w:rPr>
        <w:t>第四学年起，由宜春职业技术学院负责入学注册、教学与管理、实习与就业推荐等工作。</w:t>
      </w:r>
    </w:p>
    <w:p>
      <w:pPr>
        <w:pStyle w:val="4"/>
        <w:spacing w:before="156" w:after="156" w:line="500" w:lineRule="exact"/>
        <w:ind w:firstLine="723"/>
        <w:rPr>
          <w:rFonts w:hint="default"/>
        </w:rPr>
      </w:pPr>
      <w:bookmarkStart w:id="128" w:name="_Toc21045"/>
      <w:r>
        <w:t>4.2 学生实习情况</w:t>
      </w:r>
      <w:bookmarkEnd w:id="125"/>
      <w:bookmarkEnd w:id="126"/>
      <w:bookmarkEnd w:id="127"/>
      <w:bookmarkEnd w:id="128"/>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default" w:ascii="仿宋_GB2312" w:hAnsi="仿宋_GB2312" w:eastAsia="仿宋_GB2312" w:cs="仿宋_GB2312"/>
          <w:sz w:val="32"/>
          <w:szCs w:val="32"/>
          <w:lang w:val="en-US" w:eastAsia="zh-CN"/>
        </w:rPr>
      </w:pPr>
      <w:bookmarkStart w:id="129" w:name="_Toc14072"/>
      <w:bookmarkStart w:id="130" w:name="_Toc15815"/>
      <w:bookmarkStart w:id="131" w:name="_Toc28109"/>
      <w:r>
        <w:rPr>
          <w:rFonts w:hint="eastAsia" w:ascii="仿宋_GB2312" w:hAnsi="仿宋_GB2312" w:eastAsia="仿宋_GB2312" w:cs="仿宋_GB2312"/>
          <w:sz w:val="32"/>
          <w:szCs w:val="32"/>
          <w:lang w:val="en-US" w:eastAsia="zh-CN"/>
        </w:rPr>
        <w:t>我校严格执行国家对实习工作的规定要求，始终围绕以“提高毕业生就业工作水平、提高毕业生就业质量、提高毕业生就业率”为重点，深入考察、层层筛选，选择优质企业进行实习安置。2020年，学校招生就业办公室联合教务科把关教学实习，建立完整的实习台账，加大实习检查力度，配备实习带队教师，推行部门联动管理平台、教学实习检查全覆盖、驻企教师指导点“三位一体”的实习管理模式。通过加强实习过程跟踪服务与管理，创新实习过程管理模式，不仅有利于学校第一时间掌握学生实习动态，还极大的提高了学生对教学实习的正确认识。</w:t>
      </w:r>
    </w:p>
    <w:p>
      <w:pPr>
        <w:pStyle w:val="4"/>
        <w:spacing w:before="156" w:after="156" w:line="500" w:lineRule="exact"/>
        <w:ind w:firstLine="723"/>
      </w:pPr>
      <w:bookmarkStart w:id="132" w:name="_Toc8985"/>
      <w:r>
        <w:t>4.3</w:t>
      </w:r>
      <w:r>
        <w:rPr>
          <w:rFonts w:hint="eastAsia"/>
          <w:lang w:val="en-US" w:eastAsia="zh-CN"/>
        </w:rPr>
        <w:t xml:space="preserve"> 1+X证书试点</w:t>
      </w:r>
      <w:r>
        <w:t>情况</w:t>
      </w:r>
      <w:bookmarkEnd w:id="132"/>
    </w:p>
    <w:p>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无</w:t>
      </w:r>
    </w:p>
    <w:p>
      <w:pPr>
        <w:pStyle w:val="4"/>
        <w:spacing w:before="156" w:after="156" w:line="500" w:lineRule="exact"/>
        <w:ind w:firstLine="723"/>
      </w:pPr>
      <w:bookmarkStart w:id="133" w:name="_Toc31861"/>
      <w:r>
        <w:t>4.</w:t>
      </w:r>
      <w:r>
        <w:rPr>
          <w:rFonts w:hint="eastAsia"/>
          <w:lang w:val="en-US" w:eastAsia="zh-CN"/>
        </w:rPr>
        <w:t>4</w:t>
      </w:r>
      <w:r>
        <w:rPr>
          <w:rFonts w:hint="eastAsia"/>
          <w:lang w:eastAsia="zh-CN"/>
        </w:rPr>
        <w:t>现代学徒制试点</w:t>
      </w:r>
      <w:r>
        <w:t>情况</w:t>
      </w:r>
      <w:bookmarkEnd w:id="133"/>
    </w:p>
    <w:p>
      <w:pPr>
        <w:spacing w:line="500" w:lineRule="exact"/>
        <w:ind w:firstLine="640" w:firstLineChars="200"/>
      </w:pPr>
      <w:r>
        <w:rPr>
          <w:rFonts w:hint="eastAsia" w:ascii="仿宋_GB2312" w:hAnsi="仿宋_GB2312" w:eastAsia="仿宋_GB2312" w:cs="仿宋_GB2312"/>
          <w:sz w:val="32"/>
          <w:szCs w:val="32"/>
          <w:lang w:eastAsia="zh-CN"/>
        </w:rPr>
        <w:t>无</w:t>
      </w:r>
    </w:p>
    <w:p>
      <w:pPr>
        <w:pStyle w:val="4"/>
        <w:spacing w:before="156" w:after="156" w:line="500" w:lineRule="exact"/>
        <w:ind w:firstLine="723"/>
      </w:pPr>
      <w:bookmarkStart w:id="134" w:name="_Toc9980"/>
      <w:r>
        <w:t>4.</w:t>
      </w:r>
      <w:r>
        <w:rPr>
          <w:rFonts w:hint="eastAsia"/>
          <w:lang w:val="en-US" w:eastAsia="zh-CN"/>
        </w:rPr>
        <w:t>5</w:t>
      </w:r>
      <w:r>
        <w:t>集团化办学情况</w:t>
      </w:r>
      <w:bookmarkEnd w:id="129"/>
      <w:bookmarkEnd w:id="130"/>
      <w:bookmarkEnd w:id="131"/>
      <w:bookmarkEnd w:id="134"/>
    </w:p>
    <w:p>
      <w:pPr>
        <w:spacing w:line="5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无</w:t>
      </w:r>
    </w:p>
    <w:p>
      <w:pPr>
        <w:pStyle w:val="3"/>
        <w:spacing w:before="312" w:after="312" w:line="500" w:lineRule="exact"/>
        <w:ind w:left="0" w:leftChars="0" w:firstLine="883" w:firstLineChars="200"/>
      </w:pPr>
      <w:bookmarkStart w:id="135" w:name="_Toc29573"/>
      <w:bookmarkStart w:id="136" w:name="_Toc30838"/>
      <w:bookmarkStart w:id="137" w:name="_Toc4217"/>
      <w:bookmarkStart w:id="138" w:name="_Toc13077"/>
      <w:r>
        <w:rPr>
          <w:rFonts w:hint="eastAsia"/>
        </w:rPr>
        <w:t>5.社会贡献</w:t>
      </w:r>
      <w:bookmarkEnd w:id="135"/>
      <w:bookmarkEnd w:id="136"/>
      <w:bookmarkEnd w:id="137"/>
      <w:bookmarkEnd w:id="138"/>
    </w:p>
    <w:p>
      <w:pPr>
        <w:pStyle w:val="4"/>
        <w:spacing w:before="156" w:after="156" w:line="500" w:lineRule="exact"/>
        <w:ind w:firstLine="723"/>
        <w:rPr>
          <w:rFonts w:hint="default"/>
        </w:rPr>
      </w:pPr>
      <w:bookmarkStart w:id="139" w:name="_Toc22005"/>
      <w:bookmarkStart w:id="140" w:name="_Toc31142"/>
      <w:bookmarkStart w:id="141" w:name="_Toc23840"/>
      <w:bookmarkStart w:id="142" w:name="_Toc6590"/>
      <w:r>
        <w:t>5.1 技术技能人才培养</w:t>
      </w:r>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始终以服务产业发展为宗旨，以促进就业为导向，坚持“多元化办学、科学化管理、亲情化服务”的办学思路，以创建为抓手，注重学校的品质、内涵、特色、创新发展，突出创新驱动，强化教学中心地位，着力培养学生综合职业能力和就业竞争力，努力把学校做精做强、办出特色。同时，不断强化就业创业管理，完善就业服务体系，建立健全就业学生管理的跟踪与巡视回访制度，为毕业生提供后续管理服务和技术支撑。</w:t>
      </w:r>
      <w:bookmarkStart w:id="143" w:name="_Toc22146"/>
      <w:bookmarkStart w:id="144" w:name="_Toc14694"/>
      <w:bookmarkStart w:id="145" w:name="_Toc5925"/>
      <w:r>
        <w:rPr>
          <w:rFonts w:hint="eastAsia" w:ascii="仿宋_GB2312" w:hAnsi="仿宋_GB2312" w:eastAsia="仿宋_GB2312" w:cs="仿宋_GB2312"/>
          <w:sz w:val="32"/>
          <w:szCs w:val="32"/>
          <w:lang w:val="en-US" w:eastAsia="zh-CN"/>
        </w:rPr>
        <w:t>我校每年为社会培养1000人左右的技术技能人才，从学生实习（就业）单位反馈信息可以看出，用人单位对我校培养的技术技能人才非常满意。</w:t>
      </w:r>
    </w:p>
    <w:p>
      <w:pPr>
        <w:pStyle w:val="4"/>
        <w:spacing w:before="156" w:after="156" w:line="500" w:lineRule="exact"/>
        <w:ind w:firstLine="723"/>
        <w:rPr>
          <w:rFonts w:hint="default"/>
        </w:rPr>
      </w:pPr>
      <w:bookmarkStart w:id="146" w:name="_Toc29444"/>
      <w:r>
        <w:t>5.2 社会服务</w:t>
      </w:r>
      <w:bookmarkEnd w:id="143"/>
      <w:bookmarkEnd w:id="144"/>
      <w:bookmarkEnd w:id="145"/>
      <w:bookmarkEnd w:id="146"/>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5.2.1服务区域经济社会发展</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学校2020届毕业生在长三角、珠三角区域内就业，为沿海地区的产业发展提供了人才支撑和智力支持；学校积极与本省工业园区对接，2020年安排315名毕业生在省内企业就业，为区域经济社会发展做出了贡献。</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5.2.2积极开展社会培训</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始终坚持“以服务为宗旨，以就业为导向”的办学思想，结合学校实际情况，深度对接社会、产业和企业需求，积极开展培训和技术服务。2020年，安排1179人参加宜春市袁州区就业局GYB创业培训，对西南大学55人、中石大277人远程教育学生进行了培训考试。</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5.2.3开展职业技能鉴定</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职业技能鉴定作为一项重要的民生服务制度，是实现大众创业、万众创新的基础。2020年，我校共组织鉴定钳工、车工、汽车维修工、保育员、电工、茶艺师等职业资格共计789人次。这些专业技能人才取得职业资格证书后，利用自己的专业知识，为社会提供服务。学校考评员也在职业鉴定工作中提供严谨、专业、公正的考评服务。</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5.2.4奉献社会</w:t>
      </w:r>
    </w:p>
    <w:p>
      <w:pPr>
        <w:spacing w:line="5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重视服务社会、奉献爱心，引导师生自觉提高社会责任感。学校组织教职工积极参加2020年“慈善一日捐”活动。青年志愿者队伍经常性地走进社区、敬老院，开展形式多样的志愿服务活动，在活动中践行轻校精神。</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rPr>
        <w:t>5.2.</w:t>
      </w:r>
      <w:r>
        <w:rPr>
          <w:rFonts w:hint="eastAsia" w:ascii="仿宋_GB2312" w:hAnsi="仿宋_GB2312" w:eastAsia="仿宋_GB2312" w:cs="仿宋_GB2312"/>
          <w:b/>
          <w:bCs/>
          <w:sz w:val="32"/>
          <w:szCs w:val="32"/>
          <w:lang w:val="en-US" w:eastAsia="zh-CN"/>
        </w:rPr>
        <w:t>5</w:t>
      </w:r>
      <w:r>
        <w:rPr>
          <w:rFonts w:hint="eastAsia" w:ascii="仿宋_GB2312" w:hAnsi="仿宋_GB2312" w:eastAsia="仿宋_GB2312" w:cs="仿宋_GB2312"/>
          <w:b/>
          <w:bCs/>
          <w:sz w:val="32"/>
          <w:szCs w:val="32"/>
          <w:lang w:eastAsia="zh-CN"/>
        </w:rPr>
        <w:t>技术服务</w:t>
      </w:r>
    </w:p>
    <w:p>
      <w:pPr>
        <w:pStyle w:val="2"/>
        <w:keepNext w:val="0"/>
        <w:keepLines w:val="0"/>
        <w:pageBreakBefore w:val="0"/>
        <w:widowControl w:val="0"/>
        <w:kinsoku/>
        <w:wordWrap/>
        <w:overflowPunct/>
        <w:topLinePunct w:val="0"/>
        <w:autoSpaceDE/>
        <w:autoSpaceDN/>
        <w:bidi w:val="0"/>
        <w:adjustRightInd/>
        <w:snapToGrid/>
        <w:spacing w:before="0"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学校建设智慧校园平台，便捷师生维修报修，提高后勤管理人员及维修人员反应速度，及时处理维修，简化工作程序，极大地提高了维修工作效率和质量。</w:t>
      </w:r>
    </w:p>
    <w:p>
      <w:pPr>
        <w:pStyle w:val="2"/>
        <w:keepNext w:val="0"/>
        <w:keepLines w:val="0"/>
        <w:pageBreakBefore w:val="0"/>
        <w:widowControl w:val="0"/>
        <w:kinsoku/>
        <w:wordWrap/>
        <w:overflowPunct/>
        <w:topLinePunct w:val="0"/>
        <w:autoSpaceDE/>
        <w:autoSpaceDN/>
        <w:bidi w:val="0"/>
        <w:adjustRightInd/>
        <w:snapToGrid/>
        <w:spacing w:before="0" w:line="5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加大保洁员管理培训力度，提高保洁、绿化工作标准，美化整洁校园。</w:t>
      </w:r>
    </w:p>
    <w:p>
      <w:pPr>
        <w:pStyle w:val="4"/>
        <w:spacing w:before="156" w:after="156" w:line="500" w:lineRule="exact"/>
        <w:ind w:firstLine="723"/>
        <w:rPr>
          <w:rFonts w:hint="default"/>
        </w:rPr>
      </w:pPr>
      <w:bookmarkStart w:id="147" w:name="_Toc3904"/>
      <w:bookmarkStart w:id="148" w:name="_Toc28049"/>
      <w:bookmarkStart w:id="149" w:name="_Toc19066"/>
      <w:bookmarkStart w:id="150" w:name="_Toc29969"/>
      <w:r>
        <w:t>5.3对口支援</w:t>
      </w:r>
      <w:bookmarkEnd w:id="147"/>
      <w:bookmarkEnd w:id="148"/>
      <w:bookmarkEnd w:id="149"/>
      <w:bookmarkEnd w:id="150"/>
    </w:p>
    <w:p>
      <w:pPr>
        <w:spacing w:line="5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党委高度重视脱贫攻坚工作，全面深入贯彻落实中央、省委、市委有关脱贫攻坚工作会议精神，积极响应关于打赢脱贫攻坚的号召，成立专项工作领导小组，精心选派驻村扶贫工作队员，紧扣精准扶贫、精准脱贫要求，扎实推进脱贫攻坚工作。</w:t>
      </w:r>
    </w:p>
    <w:p>
      <w:pPr>
        <w:spacing w:line="5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熊喜贤同志于2018年任铜鼓县港口乡赤洲村驻村第一书记，该村185户656人已在2019年底全部实现脱贫；梁亮同志于2019年2月任铜鼓县带溪乡红群村驻村第一书记，该村有建档立卡贫困户37户124人，2020年4月高分通过省级检查。学校帮扶的这两个村均为深度贫困村，全年援助帮扶村扶贫建设资金20万元，并组织职工购买当地的农产品助力扶贫4.99万。</w:t>
      </w:r>
    </w:p>
    <w:p>
      <w:pPr>
        <w:pStyle w:val="4"/>
        <w:spacing w:before="156" w:after="156" w:line="500" w:lineRule="exact"/>
        <w:ind w:firstLine="723"/>
        <w:rPr>
          <w:rFonts w:hint="eastAsia" w:eastAsia="黑体"/>
          <w:lang w:eastAsia="zh-CN"/>
        </w:rPr>
      </w:pPr>
      <w:bookmarkStart w:id="151" w:name="_Toc12351"/>
      <w:r>
        <w:t>5.</w:t>
      </w:r>
      <w:r>
        <w:rPr>
          <w:rFonts w:hint="eastAsia"/>
          <w:lang w:val="en-US" w:eastAsia="zh-CN"/>
        </w:rPr>
        <w:t>4</w:t>
      </w:r>
      <w:r>
        <w:rPr>
          <w:rFonts w:hint="eastAsia"/>
          <w:lang w:eastAsia="zh-CN"/>
        </w:rPr>
        <w:t>服务抗疫</w:t>
      </w:r>
      <w:bookmarkEnd w:id="151"/>
    </w:p>
    <w:p>
      <w:pPr>
        <w:spacing w:line="500" w:lineRule="exact"/>
        <w:ind w:firstLine="640" w:firstLineChars="200"/>
        <w:rPr>
          <w:rFonts w:hint="eastAsia" w:ascii="仿宋_GB2312" w:hAnsi="仿宋_GB2312" w:eastAsia="仿宋_GB2312" w:cs="仿宋_GB2312"/>
          <w:sz w:val="32"/>
          <w:szCs w:val="32"/>
          <w:lang w:val="en-US" w:eastAsia="zh-CN"/>
        </w:rPr>
      </w:pPr>
      <w:bookmarkStart w:id="152" w:name="_Toc23005"/>
      <w:bookmarkStart w:id="153" w:name="_Toc11656"/>
      <w:bookmarkStart w:id="154" w:name="_Toc5082"/>
      <w:r>
        <w:rPr>
          <w:rFonts w:hint="eastAsia" w:ascii="仿宋_GB2312" w:hAnsi="仿宋_GB2312" w:eastAsia="仿宋_GB2312" w:cs="仿宋_GB2312"/>
          <w:sz w:val="32"/>
          <w:szCs w:val="32"/>
          <w:lang w:val="en-US" w:eastAsia="zh-CN"/>
        </w:rPr>
        <w:t>面对突如其来的新冠肺炎疫情，学校听从习近平总书记的号令和上级与地方的部署，迅速成立疫情防控工作领导小组，多次专题会议研究落实疫情防控工作，号召党员干部加入抗疫志愿者队伍；以微信公众号、QQ群等载体，推出疫情防控动态知识宣传专题；制定了疫情防控工作制度，开展复学前的疫情应急场景演练；同时，学校全面开展网上教学，开展心理咨询和心理援助工作。4月8日至9日，组织全校教职员工开展校园环境卫生大整治活动；5月18日，学生复课。下半年，随着疫情转入常态化防控阶段，学校按照省市疫情防控要求，实行24小时值班，严格大门管理，坚持每日为全校职工进行体温检测，及时根据疫情的变化调整防控措施，保障校园安全稳定。</w:t>
      </w:r>
    </w:p>
    <w:p>
      <w:pPr>
        <w:pStyle w:val="3"/>
        <w:spacing w:before="312" w:after="312" w:line="500" w:lineRule="exact"/>
      </w:pPr>
      <w:bookmarkStart w:id="155" w:name="_Toc14819"/>
      <w:r>
        <w:rPr>
          <w:rFonts w:hint="eastAsia"/>
        </w:rPr>
        <w:t>6.举办者履责</w:t>
      </w:r>
      <w:bookmarkEnd w:id="152"/>
      <w:bookmarkEnd w:id="153"/>
      <w:bookmarkEnd w:id="154"/>
      <w:bookmarkEnd w:id="155"/>
    </w:p>
    <w:p>
      <w:pPr>
        <w:pStyle w:val="4"/>
        <w:spacing w:before="156" w:after="156" w:line="500" w:lineRule="exact"/>
        <w:ind w:firstLine="723"/>
        <w:rPr>
          <w:rFonts w:hint="default"/>
        </w:rPr>
      </w:pPr>
      <w:bookmarkStart w:id="156" w:name="_Toc12518"/>
      <w:bookmarkStart w:id="157" w:name="_Toc12396"/>
      <w:bookmarkStart w:id="158" w:name="_Toc14603"/>
      <w:bookmarkStart w:id="159" w:name="_Toc11741"/>
      <w:r>
        <w:t>6.1经费</w:t>
      </w:r>
      <w:bookmarkEnd w:id="156"/>
      <w:bookmarkEnd w:id="157"/>
      <w:bookmarkEnd w:id="158"/>
      <w:bookmarkEnd w:id="159"/>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学校得到省财政厅、省教育厅、省人社厅的大力支持，按照国家、江西省相关政策规定，给予学校稳定的资金投入渠道。2020年全年政策性经费收入3473.29万元。</w:t>
      </w:r>
    </w:p>
    <w:p>
      <w:pPr>
        <w:pStyle w:val="4"/>
        <w:spacing w:before="156" w:after="156" w:line="500" w:lineRule="exact"/>
        <w:ind w:firstLine="723"/>
        <w:rPr>
          <w:rFonts w:hint="default"/>
        </w:rPr>
      </w:pPr>
      <w:bookmarkStart w:id="160" w:name="_Toc12793"/>
      <w:bookmarkStart w:id="161" w:name="_Toc22557"/>
      <w:bookmarkStart w:id="162" w:name="_Toc5851"/>
      <w:bookmarkStart w:id="163" w:name="_Toc6125"/>
      <w:r>
        <w:t>6.2政策措施</w:t>
      </w:r>
      <w:bookmarkEnd w:id="160"/>
      <w:bookmarkEnd w:id="161"/>
      <w:bookmarkEnd w:id="162"/>
      <w:bookmarkEnd w:id="163"/>
    </w:p>
    <w:p>
      <w:pPr>
        <w:pStyle w:val="2"/>
        <w:spacing w:line="500" w:lineRule="exact"/>
        <w:ind w:left="113"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6.2.1办学自主权</w:t>
      </w:r>
    </w:p>
    <w:p>
      <w:pPr>
        <w:pStyle w:val="2"/>
        <w:spacing w:line="500" w:lineRule="exact"/>
        <w:ind w:left="113"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SA"/>
        </w:rPr>
        <w:t>学校是培养现代化高级技术技能型人才的公办高级技工学校，学校举办者支持学校拥有专业设置、人才培养课程安排、教学计划制定等办学自主权。</w:t>
      </w:r>
    </w:p>
    <w:p>
      <w:pPr>
        <w:pStyle w:val="2"/>
        <w:spacing w:line="500" w:lineRule="exact"/>
        <w:ind w:left="113"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6.2.2制度建设</w:t>
      </w:r>
    </w:p>
    <w:p>
      <w:pPr>
        <w:pStyle w:val="2"/>
        <w:spacing w:line="500" w:lineRule="exact"/>
        <w:ind w:left="113"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为不断完善学校内部管理体制和运行机制，切实提升依法治校能力，学校以党的十九届五中全会精神为指导，大力推进制度建设，成立专门的制度建设小组，统筹分类，梳理已有制度，修订、完善、制定适应学校发展的新制度，进行制度汇编，注重过程管理，努力将制度转化为学校现代化治理成效。</w:t>
      </w:r>
    </w:p>
    <w:p>
      <w:pPr>
        <w:pStyle w:val="3"/>
        <w:spacing w:before="312" w:after="312" w:line="500" w:lineRule="exact"/>
      </w:pPr>
      <w:bookmarkStart w:id="164" w:name="_Toc2146"/>
      <w:bookmarkStart w:id="165" w:name="_Toc12269"/>
      <w:bookmarkStart w:id="166" w:name="_Toc10932"/>
      <w:bookmarkStart w:id="167" w:name="_Toc23990"/>
      <w:r>
        <w:rPr>
          <w:rFonts w:hint="eastAsia"/>
        </w:rPr>
        <w:t>7.特色创新</w:t>
      </w:r>
      <w:bookmarkEnd w:id="164"/>
      <w:bookmarkEnd w:id="165"/>
      <w:bookmarkEnd w:id="166"/>
      <w:bookmarkEnd w:id="167"/>
    </w:p>
    <w:p>
      <w:pPr>
        <w:pStyle w:val="4"/>
        <w:spacing w:before="156" w:after="156" w:line="500" w:lineRule="exact"/>
        <w:ind w:left="0" w:leftChars="0" w:firstLine="723" w:firstLineChars="200"/>
        <w:rPr>
          <w:rFonts w:hint="default"/>
          <w:lang w:val="en-US" w:eastAsia="zh-CN"/>
        </w:rPr>
      </w:pPr>
      <w:bookmarkStart w:id="168" w:name="_Toc16029"/>
      <w:r>
        <w:t>【德育案例】</w:t>
      </w:r>
      <w:r>
        <w:rPr>
          <w:rFonts w:hint="eastAsia"/>
          <w:lang w:val="en-US" w:eastAsia="zh-CN"/>
        </w:rPr>
        <w:t>将立德树人贯穿教育教学的始终——创新德育工作方式</w:t>
      </w:r>
      <w:bookmarkEnd w:id="168"/>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kern w:val="2"/>
          <w:sz w:val="32"/>
          <w:szCs w:val="32"/>
          <w:lang w:val="en-US" w:eastAsia="zh-CN" w:bidi="ar-SA"/>
        </w:rPr>
      </w:pPr>
      <w:bookmarkStart w:id="169" w:name="_Toc22479"/>
      <w:bookmarkStart w:id="170" w:name="_Toc16290"/>
      <w:bookmarkStart w:id="171" w:name="_Toc26913"/>
      <w:r>
        <w:rPr>
          <w:rFonts w:hint="eastAsia" w:ascii="仿宋_GB2312" w:hAnsi="仿宋_GB2312" w:eastAsia="仿宋_GB2312" w:cs="仿宋_GB2312"/>
          <w:kern w:val="2"/>
          <w:sz w:val="32"/>
          <w:szCs w:val="32"/>
          <w:lang w:val="en-US" w:eastAsia="zh-CN" w:bidi="ar-SA"/>
        </w:rPr>
        <w:t>立德树人是新时代教育工作的根本任务。德育工作一直是我校的重点工作，我校坚持用习近平新时代中国特色社会主义思想铸魂育人，创新德育工作方式，用丰富多彩的校园活动，增进学生的政治认同、家国情怀、道德修养、法治意识、文化素养，引导学生强技报国。具体工作有：</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将《德育》《劳动实践课》贯穿三个学年。开设有《社会主义核心价值观》、《经济与政治常识》、《职业道德与职业指导》等课程。其中，《劳动创造美好生活》由班主任老师每周五下午授课，组织学生开展卫生大扫除、拔草、剪树枝等劳动实践，以理论及实践相结合地形式培养学生劳动意识和动手能力。</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全面推进思政“立体课堂”。学校书记、校长上思政课（德育课），带头联系班级，深入学生之中，加强“四个自信”教育，做学生的辅导员；学校中层以上干部对接班级参与班级管理，一方面对新老教师进行“传”“帮”“带”，一方面从思想、学习、技能、生活等方面关心和帮助学生成长。</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加强思政（德育）研究。系部成立专门的思政（德育）组，并将思政（德育）课列入学校考试科目，每月月考、期末闭卷考试。利用每周教研活动时间，加强德育组教学研究、交流教学教法，提高教学团队的“立德树人”教学水平和教学技能，使得师生在德育课程中共同成长。</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用《新闻联播》铸魂育人。为深化爱国主义教育，拓展学生的视野，从2020年9月8日学校组织全校师生收看习近平在全国抗击新冠肺炎疫情表彰大会上的讲话开始，学校将全体学生每晚自习收看《新闻联播》作为一项制度坚持下来。同时要求老师和班主任到班上陪伴学生一起收看，及时向学生解释党的创新理论，了解学生的收看体会。 学校将收看《新闻联播》作为学生道德实践的重要活动之一，让学生在心灵中增强政治认同、家国情怀和社会责任感，矢志艰苦奋斗。</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全面推行“三全育人”。每学期开学典礼上，校领导在典礼上给全校学生上好开学第一课，引导学生扣好人生第一粒扣子；每周五，学生科老师对学生进行集中训话教育；在每周班会上，班主任老师要对学生的思想和行为进行分析、疏导和教育；课堂上，除开设必修的安全教育、德育、劳动课程外，所有任课教师都及时在课程教学中宣传党的政策方针方略，推行“课程思政”，做到“思政课有专业情、专业课有思政味”，比如音乐思政已作为我校的一个课题正在推进；日常生活中，学校注重教育引导学生遵纪守法、严以律己，让学生在生活过程中培育社会公德、学习职业道德、修养个人品德、重视家庭美德。通过学校集体学习生活、养成教育、爱国卫生劳动、争当志愿者等过程，锤炼学生个人品格。通过实训实习，练就学生过硬的技能。</w:t>
      </w:r>
    </w:p>
    <w:p>
      <w:pPr>
        <w:pStyle w:val="3"/>
        <w:keepNext/>
        <w:keepLines/>
        <w:pageBreakBefore w:val="0"/>
        <w:widowControl w:val="0"/>
        <w:kinsoku/>
        <w:wordWrap/>
        <w:overflowPunct/>
        <w:topLinePunct w:val="0"/>
        <w:autoSpaceDE/>
        <w:autoSpaceDN/>
        <w:bidi w:val="0"/>
        <w:adjustRightInd/>
        <w:snapToGrid/>
        <w:spacing w:before="157" w:beforeLines="50" w:after="157" w:afterLines="50" w:line="500" w:lineRule="exact"/>
        <w:textAlignment w:val="auto"/>
        <w:rPr>
          <w:rFonts w:hint="eastAsia"/>
          <w:lang w:val="en-US" w:eastAsia="zh-CN"/>
        </w:rPr>
      </w:pPr>
      <w:bookmarkStart w:id="172" w:name="_Toc2704"/>
      <w:r>
        <w:rPr>
          <w:rFonts w:hint="eastAsia"/>
          <w:lang w:val="en-US" w:eastAsia="zh-CN"/>
        </w:rPr>
        <w:t>8.主要问题和改进措施</w:t>
      </w:r>
      <w:bookmarkEnd w:id="169"/>
      <w:bookmarkEnd w:id="170"/>
      <w:bookmarkEnd w:id="171"/>
      <w:bookmarkEnd w:id="172"/>
    </w:p>
    <w:p>
      <w:pPr>
        <w:pStyle w:val="4"/>
        <w:spacing w:before="156" w:after="156" w:line="500" w:lineRule="exact"/>
        <w:ind w:firstLine="723"/>
        <w:rPr>
          <w:rFonts w:hint="default" w:ascii="仿宋_GB2312" w:hAnsi="仿宋_GB2312" w:eastAsia="仿宋_GB2312" w:cs="仿宋_GB2312"/>
          <w:kern w:val="2"/>
          <w:sz w:val="32"/>
          <w:szCs w:val="32"/>
          <w:lang w:val="en-US" w:eastAsia="zh-CN" w:bidi="ar-SA"/>
        </w:rPr>
      </w:pPr>
      <w:bookmarkStart w:id="173" w:name="_Toc19656"/>
      <w:bookmarkStart w:id="174" w:name="_Toc14063"/>
      <w:bookmarkStart w:id="175" w:name="_Toc12274"/>
      <w:bookmarkStart w:id="176" w:name="_Toc2673"/>
      <w:r>
        <w:rPr>
          <w:rFonts w:hint="eastAsia" w:ascii="仿宋_GB2312" w:hAnsi="仿宋_GB2312" w:eastAsia="仿宋_GB2312" w:cs="仿宋_GB2312"/>
          <w:kern w:val="2"/>
          <w:sz w:val="32"/>
          <w:szCs w:val="32"/>
          <w:lang w:val="en-US" w:eastAsia="zh-CN" w:bidi="ar-SA"/>
        </w:rPr>
        <w:t>8.1主要问题</w:t>
      </w:r>
      <w:bookmarkEnd w:id="173"/>
      <w:bookmarkEnd w:id="174"/>
      <w:bookmarkEnd w:id="175"/>
      <w:bookmarkEnd w:id="176"/>
    </w:p>
    <w:p>
      <w:pPr>
        <w:spacing w:line="5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在长期的办学过程中，学校也存在着一些问题，主要表现在：一是党政机构不</w:t>
      </w:r>
      <w:r>
        <w:rPr>
          <w:rFonts w:hint="eastAsia" w:ascii="仿宋_GB2312" w:hAnsi="仿宋_GB2312" w:eastAsia="仿宋_GB2312" w:cs="仿宋_GB2312"/>
          <w:kern w:val="2"/>
          <w:sz w:val="32"/>
          <w:szCs w:val="32"/>
          <w:highlight w:val="none"/>
          <w:lang w:val="en-US" w:eastAsia="zh-CN" w:bidi="ar-SA"/>
        </w:rPr>
        <w:t>完备，比如目前尚没有纪检监察室、宣传法规科、资产管理科</w:t>
      </w:r>
      <w:r>
        <w:rPr>
          <w:rFonts w:hint="eastAsia" w:ascii="仿宋_GB2312" w:hAnsi="仿宋_GB2312" w:eastAsia="仿宋_GB2312" w:cs="仿宋_GB2312"/>
          <w:kern w:val="2"/>
          <w:sz w:val="32"/>
          <w:szCs w:val="32"/>
          <w:lang w:val="en-US" w:eastAsia="zh-CN" w:bidi="ar-SA"/>
        </w:rPr>
        <w:t>；二是学校编制数30年未增，师资紧缺。外聘职工90多人的工资靠学校解决；三是新校区建设累计约5000万元负债，给学校发展带来了很大的压力。</w:t>
      </w:r>
    </w:p>
    <w:p>
      <w:pPr>
        <w:pStyle w:val="4"/>
        <w:spacing w:before="156" w:after="156" w:line="500" w:lineRule="exact"/>
        <w:ind w:firstLine="723"/>
        <w:rPr>
          <w:rFonts w:hint="default" w:ascii="仿宋_GB2312" w:hAnsi="仿宋_GB2312" w:eastAsia="仿宋_GB2312" w:cs="仿宋_GB2312"/>
          <w:kern w:val="2"/>
          <w:sz w:val="32"/>
          <w:szCs w:val="32"/>
          <w:lang w:val="en-US" w:eastAsia="zh-CN" w:bidi="ar-SA"/>
        </w:rPr>
      </w:pPr>
      <w:bookmarkStart w:id="177" w:name="_Toc13398"/>
      <w:bookmarkStart w:id="178" w:name="_Toc4247"/>
      <w:bookmarkStart w:id="179" w:name="_Toc28707"/>
      <w:bookmarkStart w:id="180" w:name="_Toc14435"/>
      <w:r>
        <w:rPr>
          <w:rFonts w:hint="eastAsia" w:ascii="仿宋_GB2312" w:hAnsi="仿宋_GB2312" w:eastAsia="仿宋_GB2312" w:cs="仿宋_GB2312"/>
          <w:kern w:val="2"/>
          <w:sz w:val="32"/>
          <w:szCs w:val="32"/>
          <w:lang w:val="en-US" w:eastAsia="zh-CN" w:bidi="ar-SA"/>
        </w:rPr>
        <w:t>8.2改进措施</w:t>
      </w:r>
      <w:bookmarkEnd w:id="177"/>
      <w:bookmarkEnd w:id="178"/>
      <w:bookmarkEnd w:id="179"/>
      <w:bookmarkEnd w:id="180"/>
    </w:p>
    <w:p>
      <w:pPr>
        <w:spacing w:line="5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highlight w:val="none"/>
          <w:lang w:val="en-US" w:eastAsia="zh-CN" w:bidi="ar-SA"/>
        </w:rPr>
        <w:t>学校以习近平新时代中国特色社会主义思想为指导，不断增强“四个意识”、坚定“四个自信”、做到“两个维护”，把立德树人成效作为检验学校一切工作的根本标准，回答好“培养什么样的人”这一首要问题，坚持自我革命，以目标为导向、以问题为导向、以效果为导向，结合省委教育工委书记叶仁荪听取巡察汇报时的指示以及巡察反馈意见，结合省委教育工委副书记省教育厅厅长郭杰忠对厅属职业院校主要领导、班子成员进行政治谈话要求，以直面问题的勇气和刀刃向内的决心，承担职责使命，压实全面从严治党主体责任，采取措施，坚决整改，团结拼搏，艰苦奋斗，</w:t>
      </w:r>
      <w:r>
        <w:rPr>
          <w:rFonts w:hint="eastAsia" w:ascii="仿宋_GB2312" w:hAnsi="仿宋_GB2312" w:eastAsia="仿宋_GB2312" w:cs="仿宋_GB2312"/>
          <w:kern w:val="2"/>
          <w:sz w:val="32"/>
          <w:szCs w:val="32"/>
          <w:lang w:val="en-US" w:eastAsia="zh-CN" w:bidi="ar-SA"/>
        </w:rPr>
        <w:t>不断攻克前进道路上的难关。</w:t>
      </w:r>
    </w:p>
    <w:p>
      <w:pPr>
        <w:spacing w:line="5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一是强化理论武装。以习近平新时代中国特色社会主义思想武装头脑，真正做到学懂弄通做实，旗帜鲜明讲政治，把政治意识和政治能力摆在第一位，增强政治领悟力、政治判断力和政治执行力，防止空喊口号，做到“三严三实”，把党的教育方针落实到学校改革发展和培养德智体美劳全面发展的高素质技能人才上来，作示范、永争先，奋力办好人民满意的职业教育；</w:t>
      </w:r>
    </w:p>
    <w:p>
      <w:pPr>
        <w:spacing w:line="5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二是按时按质按量完成巡察整改任务。学校党委担起整改的主体责任，把巡察整改作为今后一个时期的政治任务，压实整改责任，把整改融入日常工作、融入深化改革、融入班子队伍建设、融入全面从严治党，把历史问题和现实问题一并解决，不留死角。以问题为导向，举一反三，构建标本兼治的长效机制。团结带领全校党员干部教师，改进作风，艰苦奋斗，攻坚克难，创新突破；</w:t>
      </w:r>
    </w:p>
    <w:p>
      <w:pPr>
        <w:spacing w:line="5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三是高质量制定适合学校发展的“十四五”。认真学习贯彻党的十九届五中全会精神，深入贯彻《国家职业教育改革实施方案》《江西省职业教育改革实施方案》《教育部 江西省人民政府关于整省推进职业教育综合改革提质创优的意见》（赣府发﹝2020〕16号）等相关政策文件，以问题为导向，大力开展调查，找差距、补短板、强弱项、激活力，组织专家论证，注重过程管理，解决好“最后一公里”的问题，重视绩效评价，制定适应学校高质量跨越式发展的“十四五”发展规划。</w:t>
      </w:r>
    </w:p>
    <w:p>
      <w:pPr>
        <w:spacing w:line="500" w:lineRule="exact"/>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四是紧跟新发展阶段职业教育职能使命，加强与上级部门的沟通和联系，在不断发展的前提下争取上级部门的支持，逐步协调解决学校机构设置问题；</w:t>
      </w:r>
    </w:p>
    <w:p>
      <w:pPr>
        <w:spacing w:line="500" w:lineRule="exact"/>
        <w:ind w:firstLine="420" w:firstLineChars="200"/>
        <w:rPr>
          <w:rFonts w:hint="eastAsia" w:ascii="仿宋_GB2312" w:hAnsi="仿宋_GB2312" w:eastAsia="仿宋_GB2312" w:cs="仿宋_GB2312"/>
          <w:kern w:val="2"/>
          <w:sz w:val="32"/>
          <w:szCs w:val="32"/>
          <w:lang w:val="en-US" w:eastAsia="zh-CN" w:bidi="ar-SA"/>
        </w:rPr>
      </w:pPr>
      <w:r>
        <w:rPr>
          <w:rFonts w:hint="default"/>
          <w:lang w:val="en-US" w:eastAsia="zh-CN"/>
        </w:rPr>
        <w:drawing>
          <wp:anchor distT="0" distB="0" distL="114300" distR="114300" simplePos="0" relativeHeight="251658240" behindDoc="1" locked="0" layoutInCell="1" allowOverlap="1">
            <wp:simplePos x="0" y="0"/>
            <wp:positionH relativeFrom="column">
              <wp:posOffset>2760980</wp:posOffset>
            </wp:positionH>
            <wp:positionV relativeFrom="paragraph">
              <wp:posOffset>705485</wp:posOffset>
            </wp:positionV>
            <wp:extent cx="3082925" cy="2352040"/>
            <wp:effectExtent l="0" t="0" r="41275" b="40640"/>
            <wp:wrapTight wrapText="bothSides">
              <wp:wrapPolygon>
                <wp:start x="0" y="0"/>
                <wp:lineTo x="0" y="21413"/>
                <wp:lineTo x="21462" y="21413"/>
                <wp:lineTo x="21462" y="0"/>
                <wp:lineTo x="0" y="0"/>
              </wp:wrapPolygon>
            </wp:wrapTight>
            <wp:docPr id="1" name="图片 1" descr="无人机职培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无人机职培中心"/>
                    <pic:cNvPicPr>
                      <a:picLocks noChangeAspect="1"/>
                    </pic:cNvPicPr>
                  </pic:nvPicPr>
                  <pic:blipFill>
                    <a:blip r:embed="rId11"/>
                    <a:srcRect l="10652" t="6441" r="7931" b="10741"/>
                    <a:stretch>
                      <a:fillRect/>
                    </a:stretch>
                  </pic:blipFill>
                  <pic:spPr>
                    <a:xfrm>
                      <a:off x="0" y="0"/>
                      <a:ext cx="3082925" cy="2352040"/>
                    </a:xfrm>
                    <a:prstGeom prst="rect">
                      <a:avLst/>
                    </a:prstGeom>
                  </pic:spPr>
                </pic:pic>
              </a:graphicData>
            </a:graphic>
          </wp:anchor>
        </w:drawing>
      </w:r>
      <w:r>
        <w:rPr>
          <w:rFonts w:hint="eastAsia" w:ascii="仿宋_GB2312" w:hAnsi="仿宋_GB2312" w:eastAsia="仿宋_GB2312" w:cs="仿宋_GB2312"/>
          <w:kern w:val="2"/>
          <w:sz w:val="32"/>
          <w:szCs w:val="32"/>
          <w:lang w:val="en-US" w:eastAsia="zh-CN" w:bidi="ar-SA"/>
        </w:rPr>
        <w:t>五是加强队伍建设。加大人才培养和引进力度，激励教师参加学术研究和专业竞赛，建设优势特色专业，提高教育教学质量。</w:t>
      </w:r>
    </w:p>
    <w:p>
      <w:pPr>
        <w:pStyle w:val="3"/>
        <w:keepNext/>
        <w:keepLines/>
        <w:pageBreakBefore w:val="0"/>
        <w:widowControl w:val="0"/>
        <w:kinsoku/>
        <w:wordWrap/>
        <w:overflowPunct/>
        <w:topLinePunct w:val="0"/>
        <w:autoSpaceDE/>
        <w:autoSpaceDN/>
        <w:bidi w:val="0"/>
        <w:adjustRightInd/>
        <w:snapToGrid/>
        <w:spacing w:before="157" w:beforeLines="50" w:after="157" w:afterLines="50" w:line="500" w:lineRule="exact"/>
        <w:textAlignment w:val="auto"/>
        <w:rPr>
          <w:rFonts w:hint="eastAsia" w:eastAsia="黑体"/>
          <w:lang w:eastAsia="zh-CN"/>
        </w:rPr>
      </w:pPr>
      <w:bookmarkStart w:id="181" w:name="_Toc6646"/>
      <w:r>
        <w:rPr>
          <w:rFonts w:hint="eastAsia"/>
          <w:lang w:val="en-US" w:eastAsia="zh-CN"/>
        </w:rPr>
        <w:t>9</w:t>
      </w:r>
      <w:r>
        <w:rPr>
          <w:rFonts w:hint="eastAsia"/>
        </w:rPr>
        <w:t>.</w:t>
      </w:r>
      <w:r>
        <w:rPr>
          <w:rFonts w:hint="eastAsia"/>
          <w:lang w:eastAsia="zh-CN"/>
        </w:rPr>
        <w:t>其他</w:t>
      </w:r>
      <w:bookmarkEnd w:id="181"/>
    </w:p>
    <w:p>
      <w:pPr>
        <w:pStyle w:val="2"/>
        <w:ind w:firstLine="640" w:firstLineChars="200"/>
        <w:rPr>
          <w:rFonts w:hint="default"/>
          <w:lang w:val="en-US" w:eastAsia="zh-CN"/>
        </w:rPr>
      </w:pPr>
      <w:r>
        <w:rPr>
          <w:rFonts w:hint="eastAsia" w:ascii="仿宋_GB2312" w:hAnsi="仿宋_GB2312" w:eastAsia="仿宋_GB2312" w:cs="仿宋_GB2312"/>
          <w:b w:val="0"/>
          <w:bCs w:val="0"/>
          <w:kern w:val="2"/>
          <w:sz w:val="32"/>
          <w:szCs w:val="32"/>
          <w:shd w:val="clear" w:color="auto" w:fill="FDFDFC"/>
          <w:lang w:val="en-US" w:eastAsia="zh-CN" w:bidi="ar-SA"/>
        </w:rPr>
        <w:t>在互联网+、智能制造为特征的“工业4.0”时代背景下，民用无人机已成为全球各国相互竞争的新兴产业。无人机产业的发展离不开人才的支撑，而职业教育是培养应用型人才的基础。2020年，为探索无人机的应用专业及发展方向，为毕业学生就业提供更多的选择，搭建起一个无人机职业教育的互动平台。我校与无人机专业合作企业就专业课程、课时、实训体系设置，教材选用，师资培养，运行与安全管理程序等方面进行探讨、交流、审核。经过不断的努力，2020年10月我校成为由</w:t>
      </w:r>
      <w:r>
        <w:rPr>
          <w:rFonts w:hint="eastAsia" w:ascii="仿宋_GB2312" w:hAnsi="仿宋_GB2312" w:eastAsia="仿宋_GB2312" w:cs="仿宋_GB2312"/>
          <w:b w:val="0"/>
          <w:bCs w:val="0"/>
          <w:sz w:val="32"/>
          <w:szCs w:val="32"/>
          <w:vertAlign w:val="baseline"/>
          <w:lang w:val="en-US" w:eastAsia="zh-CN"/>
        </w:rPr>
        <w:t>中国航空器拥有者及驾驶员协会批准的民用无人机驾驶员职业教育培训中心。</w:t>
      </w:r>
    </w:p>
    <w:sectPr>
      <w:type w:val="continuous"/>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kVuwWAgAAFQQAAA4AAABkcnMvZTJvRG9jLnhtbK1TzY7TMBC+I/EO&#10;lu80aStW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M32d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AQ5FbsFgIAABUEAAAOAAAAAAAA&#10;AAEAIAAAAB8BAABkcnMvZTJvRG9jLnhtbFBLBQYAAAAABgAGAFkBAACn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double" w:color="1A356C" w:sz="8" w:space="1"/>
      </w:pBdr>
    </w:pPr>
    <w:r>
      <w:rPr>
        <w:rFonts w:hint="eastAsia"/>
      </w:rPr>
      <w:drawing>
        <wp:inline distT="0" distB="0" distL="114300" distR="114300">
          <wp:extent cx="363855" cy="348615"/>
          <wp:effectExtent l="0" t="0" r="17145" b="13335"/>
          <wp:docPr id="8" name="图片 8" descr="校徽标志(无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徽标志(无框)"/>
                  <pic:cNvPicPr>
                    <a:picLocks noChangeAspect="1"/>
                  </pic:cNvPicPr>
                </pic:nvPicPr>
                <pic:blipFill>
                  <a:blip r:embed="rId1"/>
                  <a:stretch>
                    <a:fillRect/>
                  </a:stretch>
                </pic:blipFill>
                <pic:spPr>
                  <a:xfrm>
                    <a:off x="0" y="0"/>
                    <a:ext cx="363855" cy="348615"/>
                  </a:xfrm>
                  <a:prstGeom prst="rect">
                    <a:avLst/>
                  </a:prstGeom>
                </pic:spPr>
              </pic:pic>
            </a:graphicData>
          </a:graphic>
        </wp:inline>
      </w:drawing>
    </w:r>
    <w:r>
      <w:rPr>
        <w:rFonts w:hint="eastAsia"/>
      </w:rPr>
      <w:drawing>
        <wp:inline distT="0" distB="0" distL="114300" distR="114300">
          <wp:extent cx="1889760" cy="377825"/>
          <wp:effectExtent l="0" t="0" r="15240" b="3175"/>
          <wp:docPr id="9" name="图片 9" descr="校名JPG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校名JPG版"/>
                  <pic:cNvPicPr>
                    <a:picLocks noChangeAspect="1"/>
                  </pic:cNvPicPr>
                </pic:nvPicPr>
                <pic:blipFill>
                  <a:blip r:embed="rId2"/>
                  <a:stretch>
                    <a:fillRect/>
                  </a:stretch>
                </pic:blipFill>
                <pic:spPr>
                  <a:xfrm>
                    <a:off x="0" y="0"/>
                    <a:ext cx="1889760" cy="3778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EBE"/>
    <w:rsid w:val="00003BC0"/>
    <w:rsid w:val="00074CEA"/>
    <w:rsid w:val="0009199B"/>
    <w:rsid w:val="000A66C6"/>
    <w:rsid w:val="000E2E38"/>
    <w:rsid w:val="00122E54"/>
    <w:rsid w:val="00134D00"/>
    <w:rsid w:val="00140A41"/>
    <w:rsid w:val="00145E7B"/>
    <w:rsid w:val="001478B0"/>
    <w:rsid w:val="00177B22"/>
    <w:rsid w:val="001A2E99"/>
    <w:rsid w:val="001D0728"/>
    <w:rsid w:val="001F6135"/>
    <w:rsid w:val="00205CB5"/>
    <w:rsid w:val="00223086"/>
    <w:rsid w:val="002231A9"/>
    <w:rsid w:val="00223272"/>
    <w:rsid w:val="002379DA"/>
    <w:rsid w:val="002404DF"/>
    <w:rsid w:val="002A519E"/>
    <w:rsid w:val="002E4394"/>
    <w:rsid w:val="002E4619"/>
    <w:rsid w:val="002F6DBB"/>
    <w:rsid w:val="002F768F"/>
    <w:rsid w:val="00315193"/>
    <w:rsid w:val="00326318"/>
    <w:rsid w:val="00371034"/>
    <w:rsid w:val="00395174"/>
    <w:rsid w:val="00414486"/>
    <w:rsid w:val="00461CE6"/>
    <w:rsid w:val="0047313C"/>
    <w:rsid w:val="004D0F39"/>
    <w:rsid w:val="004D1563"/>
    <w:rsid w:val="004D37BF"/>
    <w:rsid w:val="004F1751"/>
    <w:rsid w:val="00541AD2"/>
    <w:rsid w:val="005A2CD6"/>
    <w:rsid w:val="005D2C57"/>
    <w:rsid w:val="005D3526"/>
    <w:rsid w:val="00611715"/>
    <w:rsid w:val="00631AA3"/>
    <w:rsid w:val="006E7CF3"/>
    <w:rsid w:val="006F1E6B"/>
    <w:rsid w:val="006F263D"/>
    <w:rsid w:val="00721495"/>
    <w:rsid w:val="00735578"/>
    <w:rsid w:val="00741ABB"/>
    <w:rsid w:val="0078520F"/>
    <w:rsid w:val="007C2413"/>
    <w:rsid w:val="007D1184"/>
    <w:rsid w:val="007D16C3"/>
    <w:rsid w:val="007D3F93"/>
    <w:rsid w:val="007E3BFB"/>
    <w:rsid w:val="007F6A93"/>
    <w:rsid w:val="00865446"/>
    <w:rsid w:val="00875B86"/>
    <w:rsid w:val="008800BD"/>
    <w:rsid w:val="0089624A"/>
    <w:rsid w:val="008A7EF6"/>
    <w:rsid w:val="008C7C23"/>
    <w:rsid w:val="008D0E55"/>
    <w:rsid w:val="008D31C5"/>
    <w:rsid w:val="00931ABB"/>
    <w:rsid w:val="00974405"/>
    <w:rsid w:val="0097475C"/>
    <w:rsid w:val="00990CA8"/>
    <w:rsid w:val="009E25DA"/>
    <w:rsid w:val="00A07C68"/>
    <w:rsid w:val="00AB756F"/>
    <w:rsid w:val="00AD68AD"/>
    <w:rsid w:val="00AE7C8C"/>
    <w:rsid w:val="00AF11B5"/>
    <w:rsid w:val="00AF1A1F"/>
    <w:rsid w:val="00B24F96"/>
    <w:rsid w:val="00B941C4"/>
    <w:rsid w:val="00BB4B72"/>
    <w:rsid w:val="00BB6D04"/>
    <w:rsid w:val="00BC2B8B"/>
    <w:rsid w:val="00BD5C63"/>
    <w:rsid w:val="00BE60C7"/>
    <w:rsid w:val="00BF1E73"/>
    <w:rsid w:val="00C00D32"/>
    <w:rsid w:val="00C10EE0"/>
    <w:rsid w:val="00C11280"/>
    <w:rsid w:val="00C23F17"/>
    <w:rsid w:val="00C37615"/>
    <w:rsid w:val="00CA0AC3"/>
    <w:rsid w:val="00CD629B"/>
    <w:rsid w:val="00CE53B4"/>
    <w:rsid w:val="00D27C01"/>
    <w:rsid w:val="00D27E24"/>
    <w:rsid w:val="00D3503F"/>
    <w:rsid w:val="00D3781F"/>
    <w:rsid w:val="00D46115"/>
    <w:rsid w:val="00D56E78"/>
    <w:rsid w:val="00D656A4"/>
    <w:rsid w:val="00D74ACD"/>
    <w:rsid w:val="00D80EC1"/>
    <w:rsid w:val="00D82DCD"/>
    <w:rsid w:val="00D83F51"/>
    <w:rsid w:val="00D85511"/>
    <w:rsid w:val="00D87463"/>
    <w:rsid w:val="00D949E3"/>
    <w:rsid w:val="00D94DB2"/>
    <w:rsid w:val="00DD4462"/>
    <w:rsid w:val="00DF64E7"/>
    <w:rsid w:val="00E02B7F"/>
    <w:rsid w:val="00E16D65"/>
    <w:rsid w:val="00E30566"/>
    <w:rsid w:val="00E35832"/>
    <w:rsid w:val="00E400F6"/>
    <w:rsid w:val="00E76EBE"/>
    <w:rsid w:val="00EA1F89"/>
    <w:rsid w:val="00EB0E94"/>
    <w:rsid w:val="00EB176E"/>
    <w:rsid w:val="00EB5A65"/>
    <w:rsid w:val="00EC0A7A"/>
    <w:rsid w:val="00EE1B9A"/>
    <w:rsid w:val="00F06852"/>
    <w:rsid w:val="00F21250"/>
    <w:rsid w:val="00F2498B"/>
    <w:rsid w:val="00F416F9"/>
    <w:rsid w:val="00F56884"/>
    <w:rsid w:val="00F6453D"/>
    <w:rsid w:val="00F7198F"/>
    <w:rsid w:val="00FB549D"/>
    <w:rsid w:val="00FD4EE0"/>
    <w:rsid w:val="00FE6616"/>
    <w:rsid w:val="00FF29D4"/>
    <w:rsid w:val="00FF6D71"/>
    <w:rsid w:val="012460A9"/>
    <w:rsid w:val="016D746D"/>
    <w:rsid w:val="02043698"/>
    <w:rsid w:val="024145F2"/>
    <w:rsid w:val="02AC34A9"/>
    <w:rsid w:val="02DB79EE"/>
    <w:rsid w:val="03C97C74"/>
    <w:rsid w:val="043F63BE"/>
    <w:rsid w:val="047E4360"/>
    <w:rsid w:val="048B078C"/>
    <w:rsid w:val="050A35B9"/>
    <w:rsid w:val="05AB0529"/>
    <w:rsid w:val="0608216E"/>
    <w:rsid w:val="067F2D28"/>
    <w:rsid w:val="06881D72"/>
    <w:rsid w:val="06905496"/>
    <w:rsid w:val="06FE12D3"/>
    <w:rsid w:val="0713304E"/>
    <w:rsid w:val="07613080"/>
    <w:rsid w:val="07BC5F8F"/>
    <w:rsid w:val="07C52C2B"/>
    <w:rsid w:val="082C32AC"/>
    <w:rsid w:val="08694EF5"/>
    <w:rsid w:val="08BF66E0"/>
    <w:rsid w:val="09CB089F"/>
    <w:rsid w:val="0A157C79"/>
    <w:rsid w:val="0A564870"/>
    <w:rsid w:val="0A5858A1"/>
    <w:rsid w:val="0B7F5353"/>
    <w:rsid w:val="0BFA13EB"/>
    <w:rsid w:val="0C0B1D9E"/>
    <w:rsid w:val="0C665F05"/>
    <w:rsid w:val="0C9F26C9"/>
    <w:rsid w:val="0CB55B45"/>
    <w:rsid w:val="0CD251F3"/>
    <w:rsid w:val="0CE64095"/>
    <w:rsid w:val="0CF0605F"/>
    <w:rsid w:val="0DAC3AF9"/>
    <w:rsid w:val="0DCC6B56"/>
    <w:rsid w:val="0EEB5994"/>
    <w:rsid w:val="0F074201"/>
    <w:rsid w:val="0F2844E2"/>
    <w:rsid w:val="0F521C60"/>
    <w:rsid w:val="0F987019"/>
    <w:rsid w:val="0FBF07C8"/>
    <w:rsid w:val="103D2C62"/>
    <w:rsid w:val="1062153F"/>
    <w:rsid w:val="10933151"/>
    <w:rsid w:val="10AD14D7"/>
    <w:rsid w:val="117331E3"/>
    <w:rsid w:val="124062F9"/>
    <w:rsid w:val="12F5104D"/>
    <w:rsid w:val="139D5C1B"/>
    <w:rsid w:val="13A0049F"/>
    <w:rsid w:val="13B62E3D"/>
    <w:rsid w:val="13E66363"/>
    <w:rsid w:val="14AD23AE"/>
    <w:rsid w:val="14E647F8"/>
    <w:rsid w:val="14F72365"/>
    <w:rsid w:val="14FF10D6"/>
    <w:rsid w:val="15344655"/>
    <w:rsid w:val="16882761"/>
    <w:rsid w:val="16D158D2"/>
    <w:rsid w:val="171A7DA2"/>
    <w:rsid w:val="1720368E"/>
    <w:rsid w:val="177947C1"/>
    <w:rsid w:val="181A071F"/>
    <w:rsid w:val="190B61D5"/>
    <w:rsid w:val="19903F14"/>
    <w:rsid w:val="1A144C31"/>
    <w:rsid w:val="1A5C5C79"/>
    <w:rsid w:val="1ABA177A"/>
    <w:rsid w:val="1B1519F4"/>
    <w:rsid w:val="1C2B4BE2"/>
    <w:rsid w:val="1C2E70CF"/>
    <w:rsid w:val="1CFC1BF2"/>
    <w:rsid w:val="1D224D0E"/>
    <w:rsid w:val="1D293C62"/>
    <w:rsid w:val="1D7025EC"/>
    <w:rsid w:val="1DEE0AC1"/>
    <w:rsid w:val="1F082A18"/>
    <w:rsid w:val="1FAD15F5"/>
    <w:rsid w:val="1FCB156D"/>
    <w:rsid w:val="20726C51"/>
    <w:rsid w:val="20BA64A0"/>
    <w:rsid w:val="20C34BE2"/>
    <w:rsid w:val="227C2E1D"/>
    <w:rsid w:val="22A9173E"/>
    <w:rsid w:val="22E77741"/>
    <w:rsid w:val="22F92B94"/>
    <w:rsid w:val="2313443E"/>
    <w:rsid w:val="23972205"/>
    <w:rsid w:val="242C366D"/>
    <w:rsid w:val="247C478F"/>
    <w:rsid w:val="24B12DC2"/>
    <w:rsid w:val="24B15D1B"/>
    <w:rsid w:val="25771FAA"/>
    <w:rsid w:val="257B0F6E"/>
    <w:rsid w:val="25B0585F"/>
    <w:rsid w:val="261B7690"/>
    <w:rsid w:val="2705415D"/>
    <w:rsid w:val="271F203E"/>
    <w:rsid w:val="272B7A22"/>
    <w:rsid w:val="2764300A"/>
    <w:rsid w:val="27773840"/>
    <w:rsid w:val="279B5358"/>
    <w:rsid w:val="2862016D"/>
    <w:rsid w:val="286715E3"/>
    <w:rsid w:val="28AE0AC0"/>
    <w:rsid w:val="28F377C2"/>
    <w:rsid w:val="29460478"/>
    <w:rsid w:val="29B164F6"/>
    <w:rsid w:val="2A9E424E"/>
    <w:rsid w:val="2B2620B5"/>
    <w:rsid w:val="2B6F5399"/>
    <w:rsid w:val="2BF95131"/>
    <w:rsid w:val="2C55118B"/>
    <w:rsid w:val="2CEE1F44"/>
    <w:rsid w:val="2D1A6133"/>
    <w:rsid w:val="2D1A69EF"/>
    <w:rsid w:val="2D681306"/>
    <w:rsid w:val="2DBD2BAD"/>
    <w:rsid w:val="2E90474F"/>
    <w:rsid w:val="2EAA1758"/>
    <w:rsid w:val="2F1E71F4"/>
    <w:rsid w:val="2F6459AC"/>
    <w:rsid w:val="2FB81AEB"/>
    <w:rsid w:val="30507AAB"/>
    <w:rsid w:val="30580C34"/>
    <w:rsid w:val="307178AF"/>
    <w:rsid w:val="308626F7"/>
    <w:rsid w:val="309D6968"/>
    <w:rsid w:val="31C50291"/>
    <w:rsid w:val="31E96799"/>
    <w:rsid w:val="320471EA"/>
    <w:rsid w:val="322D00A6"/>
    <w:rsid w:val="32755790"/>
    <w:rsid w:val="331A6C1D"/>
    <w:rsid w:val="33251944"/>
    <w:rsid w:val="34D10C32"/>
    <w:rsid w:val="35B84CAD"/>
    <w:rsid w:val="364B4B06"/>
    <w:rsid w:val="366E7125"/>
    <w:rsid w:val="37032EAF"/>
    <w:rsid w:val="37072629"/>
    <w:rsid w:val="375D0482"/>
    <w:rsid w:val="37722DA3"/>
    <w:rsid w:val="377230C0"/>
    <w:rsid w:val="37A13ECF"/>
    <w:rsid w:val="38012CF4"/>
    <w:rsid w:val="381F4086"/>
    <w:rsid w:val="382E2313"/>
    <w:rsid w:val="38743F0D"/>
    <w:rsid w:val="3906667E"/>
    <w:rsid w:val="39B67B93"/>
    <w:rsid w:val="3A366323"/>
    <w:rsid w:val="3A585D18"/>
    <w:rsid w:val="3A9F4844"/>
    <w:rsid w:val="3AEE71AD"/>
    <w:rsid w:val="3B865E99"/>
    <w:rsid w:val="3B8C387E"/>
    <w:rsid w:val="3CE00962"/>
    <w:rsid w:val="3DD40C50"/>
    <w:rsid w:val="3E15450A"/>
    <w:rsid w:val="3E1A4BEC"/>
    <w:rsid w:val="3EB61B65"/>
    <w:rsid w:val="3EFA5439"/>
    <w:rsid w:val="3EFD120F"/>
    <w:rsid w:val="40135FBA"/>
    <w:rsid w:val="403A4391"/>
    <w:rsid w:val="40A0337A"/>
    <w:rsid w:val="40A10266"/>
    <w:rsid w:val="4161414E"/>
    <w:rsid w:val="4164367A"/>
    <w:rsid w:val="41D659CA"/>
    <w:rsid w:val="42047BEE"/>
    <w:rsid w:val="42773AE2"/>
    <w:rsid w:val="4282416D"/>
    <w:rsid w:val="42A07354"/>
    <w:rsid w:val="42D8068C"/>
    <w:rsid w:val="43ED3EF8"/>
    <w:rsid w:val="444D3EF5"/>
    <w:rsid w:val="44696494"/>
    <w:rsid w:val="446D4398"/>
    <w:rsid w:val="44EB589F"/>
    <w:rsid w:val="451C5F46"/>
    <w:rsid w:val="455A3AFE"/>
    <w:rsid w:val="458957B5"/>
    <w:rsid w:val="45F6113B"/>
    <w:rsid w:val="45FF787A"/>
    <w:rsid w:val="47C54AEF"/>
    <w:rsid w:val="47CE201F"/>
    <w:rsid w:val="47DB48AA"/>
    <w:rsid w:val="48500E71"/>
    <w:rsid w:val="488B72CC"/>
    <w:rsid w:val="489A1A6E"/>
    <w:rsid w:val="49035161"/>
    <w:rsid w:val="49581AC0"/>
    <w:rsid w:val="4A064979"/>
    <w:rsid w:val="4AB81D89"/>
    <w:rsid w:val="4AE31F5C"/>
    <w:rsid w:val="4B0E780D"/>
    <w:rsid w:val="4B936CFC"/>
    <w:rsid w:val="4C6B15DA"/>
    <w:rsid w:val="4C6E3FCE"/>
    <w:rsid w:val="4CEF429E"/>
    <w:rsid w:val="4CFE5222"/>
    <w:rsid w:val="4D0B622F"/>
    <w:rsid w:val="4D52782B"/>
    <w:rsid w:val="4E435BA8"/>
    <w:rsid w:val="4E68648C"/>
    <w:rsid w:val="4F7F46B3"/>
    <w:rsid w:val="4FCD5A30"/>
    <w:rsid w:val="4FF425EE"/>
    <w:rsid w:val="50961442"/>
    <w:rsid w:val="50C06EDA"/>
    <w:rsid w:val="524F4C42"/>
    <w:rsid w:val="52C14149"/>
    <w:rsid w:val="52C17022"/>
    <w:rsid w:val="536C7B84"/>
    <w:rsid w:val="53D371F4"/>
    <w:rsid w:val="53F4031C"/>
    <w:rsid w:val="54CD0A0A"/>
    <w:rsid w:val="54F97911"/>
    <w:rsid w:val="55171B80"/>
    <w:rsid w:val="5562298E"/>
    <w:rsid w:val="55920922"/>
    <w:rsid w:val="561A5689"/>
    <w:rsid w:val="56651D7E"/>
    <w:rsid w:val="56E97039"/>
    <w:rsid w:val="57262F0E"/>
    <w:rsid w:val="57437836"/>
    <w:rsid w:val="58163689"/>
    <w:rsid w:val="584552FD"/>
    <w:rsid w:val="585A2B07"/>
    <w:rsid w:val="58EE6B4B"/>
    <w:rsid w:val="590E53C6"/>
    <w:rsid w:val="59113F61"/>
    <w:rsid w:val="5AC70A89"/>
    <w:rsid w:val="5B807997"/>
    <w:rsid w:val="5BBE55E3"/>
    <w:rsid w:val="5C462318"/>
    <w:rsid w:val="5C591A03"/>
    <w:rsid w:val="5D2A2708"/>
    <w:rsid w:val="5D517BCD"/>
    <w:rsid w:val="5D70763B"/>
    <w:rsid w:val="5DEB7069"/>
    <w:rsid w:val="5DFC5121"/>
    <w:rsid w:val="5E3A4033"/>
    <w:rsid w:val="5E4613ED"/>
    <w:rsid w:val="5E55746C"/>
    <w:rsid w:val="5E803991"/>
    <w:rsid w:val="5E8C6387"/>
    <w:rsid w:val="5E9A1C3F"/>
    <w:rsid w:val="5EB2442B"/>
    <w:rsid w:val="5F1E6741"/>
    <w:rsid w:val="5F493FD3"/>
    <w:rsid w:val="5F653E40"/>
    <w:rsid w:val="5F6A37F7"/>
    <w:rsid w:val="5F6A7E5B"/>
    <w:rsid w:val="5FF379EF"/>
    <w:rsid w:val="6043166C"/>
    <w:rsid w:val="6049701E"/>
    <w:rsid w:val="60C2003D"/>
    <w:rsid w:val="60C73AA5"/>
    <w:rsid w:val="616F22F8"/>
    <w:rsid w:val="61AA45EE"/>
    <w:rsid w:val="61F51BF2"/>
    <w:rsid w:val="62083831"/>
    <w:rsid w:val="621549CD"/>
    <w:rsid w:val="62457656"/>
    <w:rsid w:val="62AE3034"/>
    <w:rsid w:val="62C53134"/>
    <w:rsid w:val="62C955B5"/>
    <w:rsid w:val="62D42CDB"/>
    <w:rsid w:val="635376CA"/>
    <w:rsid w:val="639F7A86"/>
    <w:rsid w:val="64573F70"/>
    <w:rsid w:val="648011AC"/>
    <w:rsid w:val="64CD754D"/>
    <w:rsid w:val="65371E4D"/>
    <w:rsid w:val="656C40CA"/>
    <w:rsid w:val="658B1A5C"/>
    <w:rsid w:val="65D233EC"/>
    <w:rsid w:val="65EF5DE5"/>
    <w:rsid w:val="66205860"/>
    <w:rsid w:val="66A90C63"/>
    <w:rsid w:val="67147E53"/>
    <w:rsid w:val="6753148E"/>
    <w:rsid w:val="67817E90"/>
    <w:rsid w:val="67C81FC6"/>
    <w:rsid w:val="68082D8B"/>
    <w:rsid w:val="6832029F"/>
    <w:rsid w:val="6878444E"/>
    <w:rsid w:val="688E7A24"/>
    <w:rsid w:val="699843FD"/>
    <w:rsid w:val="69A914F7"/>
    <w:rsid w:val="6A316343"/>
    <w:rsid w:val="6A3324A9"/>
    <w:rsid w:val="6AD61B35"/>
    <w:rsid w:val="6AE64310"/>
    <w:rsid w:val="6B4E3667"/>
    <w:rsid w:val="6B660027"/>
    <w:rsid w:val="6B83293F"/>
    <w:rsid w:val="6B872F41"/>
    <w:rsid w:val="6BA915C0"/>
    <w:rsid w:val="6C5C02F9"/>
    <w:rsid w:val="6C7B7E73"/>
    <w:rsid w:val="6C9E11F6"/>
    <w:rsid w:val="6CBB7E71"/>
    <w:rsid w:val="6D093A6A"/>
    <w:rsid w:val="6D2B69EC"/>
    <w:rsid w:val="6E354B52"/>
    <w:rsid w:val="6F2C2B11"/>
    <w:rsid w:val="6F582AE9"/>
    <w:rsid w:val="6F6D611B"/>
    <w:rsid w:val="6F704E84"/>
    <w:rsid w:val="6FBA5C3F"/>
    <w:rsid w:val="6FC556B4"/>
    <w:rsid w:val="6FCE6818"/>
    <w:rsid w:val="703503E5"/>
    <w:rsid w:val="70B30DC4"/>
    <w:rsid w:val="71B97A33"/>
    <w:rsid w:val="71E934CB"/>
    <w:rsid w:val="723B08B5"/>
    <w:rsid w:val="726C3E68"/>
    <w:rsid w:val="72966948"/>
    <w:rsid w:val="72C67F85"/>
    <w:rsid w:val="72C81B82"/>
    <w:rsid w:val="732459CE"/>
    <w:rsid w:val="7382344B"/>
    <w:rsid w:val="7394015C"/>
    <w:rsid w:val="74120523"/>
    <w:rsid w:val="752A113F"/>
    <w:rsid w:val="75451F91"/>
    <w:rsid w:val="756C1850"/>
    <w:rsid w:val="75D24162"/>
    <w:rsid w:val="76124A3B"/>
    <w:rsid w:val="761F1BFC"/>
    <w:rsid w:val="76295822"/>
    <w:rsid w:val="7640096B"/>
    <w:rsid w:val="76824C92"/>
    <w:rsid w:val="76A63EF5"/>
    <w:rsid w:val="76BD22FF"/>
    <w:rsid w:val="76C653D4"/>
    <w:rsid w:val="772B5687"/>
    <w:rsid w:val="78152EA3"/>
    <w:rsid w:val="781F7B34"/>
    <w:rsid w:val="786D696B"/>
    <w:rsid w:val="78D43742"/>
    <w:rsid w:val="7A020969"/>
    <w:rsid w:val="7A177F90"/>
    <w:rsid w:val="7A322BE8"/>
    <w:rsid w:val="7A67263E"/>
    <w:rsid w:val="7A6D6B31"/>
    <w:rsid w:val="7AA5021F"/>
    <w:rsid w:val="7AE535B9"/>
    <w:rsid w:val="7AE744D1"/>
    <w:rsid w:val="7AF950A0"/>
    <w:rsid w:val="7BE71B65"/>
    <w:rsid w:val="7C535DAB"/>
    <w:rsid w:val="7E9357AD"/>
    <w:rsid w:val="7F4F5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0" w:name="toc 1"/>
    <w:lsdException w:qFormat="1"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Lines="100" w:afterLines="100"/>
      <w:ind w:firstLine="883" w:firstLineChars="200"/>
      <w:outlineLvl w:val="0"/>
    </w:pPr>
    <w:rPr>
      <w:rFonts w:ascii="黑体" w:hAnsi="黑体" w:eastAsia="黑体"/>
      <w:b/>
      <w:bCs/>
      <w:kern w:val="44"/>
      <w:sz w:val="44"/>
      <w:szCs w:val="32"/>
    </w:rPr>
  </w:style>
  <w:style w:type="paragraph" w:styleId="4">
    <w:name w:val="heading 2"/>
    <w:basedOn w:val="1"/>
    <w:next w:val="1"/>
    <w:unhideWhenUsed/>
    <w:qFormat/>
    <w:uiPriority w:val="0"/>
    <w:pPr>
      <w:spacing w:beforeLines="50" w:afterLines="50"/>
      <w:ind w:firstLine="964" w:firstLineChars="200"/>
      <w:jc w:val="left"/>
      <w:outlineLvl w:val="1"/>
    </w:pPr>
    <w:rPr>
      <w:rFonts w:hint="eastAsia" w:ascii="黑体" w:hAnsi="黑体" w:eastAsia="黑体" w:cs="Times New Roman"/>
      <w:b/>
      <w:bCs/>
      <w:kern w:val="0"/>
      <w:sz w:val="36"/>
      <w:szCs w:val="36"/>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02"/>
      <w:ind w:left="112"/>
    </w:pPr>
    <w:rPr>
      <w:sz w:val="28"/>
      <w:szCs w:val="28"/>
    </w:rPr>
  </w:style>
  <w:style w:type="paragraph" w:styleId="5">
    <w:name w:val="Date"/>
    <w:basedOn w:val="1"/>
    <w:next w:val="1"/>
    <w:link w:val="22"/>
    <w:qFormat/>
    <w:uiPriority w:val="0"/>
    <w:pPr>
      <w:ind w:left="100" w:leftChars="2500"/>
    </w:pPr>
  </w:style>
  <w:style w:type="paragraph" w:styleId="6">
    <w:name w:val="Balloon Text"/>
    <w:basedOn w:val="1"/>
    <w:link w:val="20"/>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semiHidden/>
    <w:unhideWhenUsed/>
    <w:qFormat/>
    <w:uiPriority w:val="0"/>
  </w:style>
  <w:style w:type="paragraph" w:styleId="10">
    <w:name w:val="toc 2"/>
    <w:basedOn w:val="1"/>
    <w:next w:val="1"/>
    <w:semiHidden/>
    <w:unhideWhenUsed/>
    <w:qFormat/>
    <w:uiPriority w:val="0"/>
    <w:pPr>
      <w:ind w:left="420" w:leftChars="200"/>
    </w:pPr>
  </w:style>
  <w:style w:type="paragraph" w:styleId="11">
    <w:name w:val="Normal (Web)"/>
    <w:basedOn w:val="1"/>
    <w:qFormat/>
    <w:uiPriority w:val="0"/>
    <w:pPr>
      <w:spacing w:beforeAutospacing="1" w:afterAutospacing="1"/>
      <w:jc w:val="left"/>
    </w:pPr>
    <w:rPr>
      <w:rFonts w:cs="Times New Roman"/>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page number"/>
    <w:basedOn w:val="14"/>
    <w:qFormat/>
    <w:uiPriority w:val="0"/>
  </w:style>
  <w:style w:type="paragraph" w:customStyle="1" w:styleId="17">
    <w:name w:val="Char"/>
    <w:basedOn w:val="1"/>
    <w:qFormat/>
    <w:uiPriority w:val="0"/>
    <w:pPr>
      <w:widowControl/>
      <w:spacing w:after="160" w:line="240" w:lineRule="exact"/>
      <w:jc w:val="left"/>
    </w:p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0">
    <w:name w:val="批注框文本 Char"/>
    <w:basedOn w:val="14"/>
    <w:link w:val="6"/>
    <w:qFormat/>
    <w:uiPriority w:val="0"/>
    <w:rPr>
      <w:rFonts w:asciiTheme="minorHAnsi" w:hAnsiTheme="minorHAnsi" w:eastAsiaTheme="minorEastAsia" w:cstheme="minorBidi"/>
      <w:kern w:val="2"/>
      <w:sz w:val="18"/>
      <w:szCs w:val="18"/>
    </w:rPr>
  </w:style>
  <w:style w:type="paragraph" w:styleId="21">
    <w:name w:val="List Paragraph"/>
    <w:basedOn w:val="1"/>
    <w:qFormat/>
    <w:uiPriority w:val="34"/>
    <w:pPr>
      <w:ind w:firstLine="420" w:firstLineChars="200"/>
    </w:pPr>
  </w:style>
  <w:style w:type="character" w:customStyle="1" w:styleId="22">
    <w:name w:val="日期 Char"/>
    <w:basedOn w:val="14"/>
    <w:link w:val="5"/>
    <w:qFormat/>
    <w:uiPriority w:val="0"/>
    <w:rPr>
      <w:kern w:val="2"/>
      <w:sz w:val="21"/>
      <w:szCs w:val="24"/>
    </w:rPr>
  </w:style>
  <w:style w:type="character" w:customStyle="1" w:styleId="23">
    <w:name w:val="NormalCharacter"/>
    <w:semiHidden/>
    <w:qFormat/>
    <w:uiPriority w:val="0"/>
  </w:style>
  <w:style w:type="paragraph" w:customStyle="1" w:styleId="24">
    <w:name w:val="HtmlNormal"/>
    <w:basedOn w:val="1"/>
    <w:qFormat/>
    <w:uiPriority w:val="0"/>
    <w:pPr>
      <w:spacing w:before="100" w:beforeAutospacing="1" w:after="100" w:afterAutospacing="1"/>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DB5F44-F8DA-440E-B083-9EBFB8FCF252}">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Pages>
  <Words>2817</Words>
  <Characters>16060</Characters>
  <Lines>133</Lines>
  <Paragraphs>37</Paragraphs>
  <TotalTime>1</TotalTime>
  <ScaleCrop>false</ScaleCrop>
  <LinksUpToDate>false</LinksUpToDate>
  <CharactersWithSpaces>18840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2020-02-10T11:58:00Z</dcterms:created>
  <dc:creator>Administrator</dc:creator>
  <cp:lastModifiedBy>q@x</cp:lastModifiedBy>
  <cp:lastPrinted>2021-02-05T08:37:00Z</cp:lastPrinted>
  <dcterms:modified xsi:type="dcterms:W3CDTF">2021-02-18T08:19:30Z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